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5" w:type="dxa"/>
        <w:tblInd w:w="-31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"/>
        <w:gridCol w:w="6089"/>
        <w:gridCol w:w="4137"/>
        <w:gridCol w:w="433"/>
      </w:tblGrid>
      <w:tr w:rsidR="005F735F" w:rsidRPr="006E3B60" w:rsidTr="003353AC">
        <w:trPr>
          <w:gridAfter w:val="1"/>
          <w:wAfter w:w="912" w:type="dxa"/>
          <w:trHeight w:val="154"/>
        </w:trPr>
        <w:tc>
          <w:tcPr>
            <w:tcW w:w="10213" w:type="dxa"/>
            <w:gridSpan w:val="3"/>
            <w:shd w:val="clear" w:color="auto" w:fill="auto"/>
          </w:tcPr>
          <w:p w:rsidR="005F735F" w:rsidRPr="006E3B60" w:rsidRDefault="005F735F" w:rsidP="003353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tbl>
            <w:tblPr>
              <w:tblW w:w="10213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728"/>
            </w:tblGrid>
            <w:tr w:rsidR="005F735F" w:rsidRPr="006E3B60" w:rsidTr="003353AC">
              <w:tc>
                <w:tcPr>
                  <w:tcW w:w="4219" w:type="dxa"/>
                  <w:shd w:val="clear" w:color="auto" w:fill="auto"/>
                </w:tcPr>
                <w:p w:rsidR="005F735F" w:rsidRPr="006E3B60" w:rsidRDefault="005F735F" w:rsidP="003353A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E3B60">
                    <w:rPr>
                      <w:color w:val="000000"/>
                      <w:sz w:val="28"/>
                      <w:szCs w:val="28"/>
                    </w:rPr>
                    <w:t>ЕЛАБУЖСКИЙ</w:t>
                  </w:r>
                </w:p>
                <w:p w:rsidR="005F735F" w:rsidRPr="006E3B60" w:rsidRDefault="005F735F" w:rsidP="003353A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E3B60">
                    <w:rPr>
                      <w:color w:val="000000"/>
                      <w:sz w:val="28"/>
                      <w:szCs w:val="28"/>
                    </w:rPr>
                    <w:t>ГОРОДСКОЙ</w:t>
                  </w:r>
                </w:p>
                <w:p w:rsidR="005F735F" w:rsidRPr="006E3B60" w:rsidRDefault="005F735F" w:rsidP="003353AC">
                  <w:pPr>
                    <w:tabs>
                      <w:tab w:val="left" w:pos="945"/>
                    </w:tabs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6E3B60">
                    <w:rPr>
                      <w:rFonts w:eastAsia="Calibri"/>
                      <w:color w:val="000000"/>
                      <w:sz w:val="28"/>
                      <w:szCs w:val="28"/>
                    </w:rPr>
                    <w:t>СОВЕТ</w:t>
                  </w:r>
                </w:p>
                <w:p w:rsidR="005F735F" w:rsidRPr="006E3B60" w:rsidRDefault="005F735F" w:rsidP="003353AC">
                  <w:pPr>
                    <w:spacing w:line="300" w:lineRule="exact"/>
                    <w:ind w:right="-14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3B60">
                    <w:rPr>
                      <w:rFonts w:eastAsia="Calibri"/>
                      <w:sz w:val="28"/>
                      <w:szCs w:val="28"/>
                      <w:lang w:eastAsia="en-US"/>
                    </w:rPr>
                    <w:t>РЕСПУБЛИКА ТАТАРСТАН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5F735F" w:rsidRPr="006E3B60" w:rsidRDefault="005F735F" w:rsidP="003353AC">
                  <w:pPr>
                    <w:keepNext/>
                    <w:spacing w:before="240" w:after="60"/>
                    <w:outlineLvl w:val="1"/>
                    <w:rPr>
                      <w:b/>
                      <w:i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szCs w:val="20"/>
                    </w:rPr>
                    <w:drawing>
                      <wp:inline distT="0" distB="0" distL="0" distR="0">
                        <wp:extent cx="601980" cy="617220"/>
                        <wp:effectExtent l="0" t="0" r="7620" b="0"/>
                        <wp:docPr id="1" name="Рисунок 1" descr="Описание: 16elabuga_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16elabuga_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98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28" w:type="dxa"/>
                  <w:shd w:val="clear" w:color="auto" w:fill="auto"/>
                </w:tcPr>
                <w:p w:rsidR="005F735F" w:rsidRPr="006E3B60" w:rsidRDefault="005F735F" w:rsidP="003353AC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6E3B60">
                    <w:rPr>
                      <w:sz w:val="28"/>
                      <w:szCs w:val="28"/>
                    </w:rPr>
                    <w:t>ТАТАРСТАН РЕСПУБЛИКАСЫ</w:t>
                  </w:r>
                </w:p>
                <w:p w:rsidR="005F735F" w:rsidRPr="006E3B60" w:rsidRDefault="005F735F" w:rsidP="003353AC">
                  <w:pPr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6E3B60">
                    <w:rPr>
                      <w:rFonts w:eastAsia="Calibri"/>
                      <w:bCs/>
                      <w:sz w:val="28"/>
                      <w:szCs w:val="28"/>
                    </w:rPr>
                    <w:t>АЛАБУГА</w:t>
                  </w:r>
                </w:p>
                <w:p w:rsidR="005F735F" w:rsidRPr="006E3B60" w:rsidRDefault="005F735F" w:rsidP="003353AC">
                  <w:pPr>
                    <w:spacing w:line="300" w:lineRule="exact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6E3B60">
                    <w:rPr>
                      <w:rFonts w:eastAsia="Calibri"/>
                      <w:bCs/>
                      <w:sz w:val="28"/>
                      <w:szCs w:val="28"/>
                    </w:rPr>
                    <w:t>Ш</w:t>
                  </w:r>
                  <w:proofErr w:type="gramEnd"/>
                  <w:r w:rsidRPr="006E3B60">
                    <w:rPr>
                      <w:rFonts w:eastAsia="Calibri"/>
                      <w:bCs/>
                      <w:sz w:val="28"/>
                      <w:szCs w:val="28"/>
                    </w:rPr>
                    <w:t>ӘҺӘР</w:t>
                  </w:r>
                </w:p>
                <w:p w:rsidR="005F735F" w:rsidRPr="006E3B60" w:rsidRDefault="005F735F" w:rsidP="003353AC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6E3B60">
                    <w:rPr>
                      <w:bCs/>
                      <w:sz w:val="28"/>
                      <w:szCs w:val="28"/>
                    </w:rPr>
                    <w:t>СОВЕТЫ</w:t>
                  </w:r>
                </w:p>
              </w:tc>
            </w:tr>
            <w:tr w:rsidR="005F735F" w:rsidRPr="006E3B60" w:rsidTr="003353AC">
              <w:trPr>
                <w:trHeight w:val="154"/>
              </w:trPr>
              <w:tc>
                <w:tcPr>
                  <w:tcW w:w="10213" w:type="dxa"/>
                  <w:gridSpan w:val="3"/>
                  <w:shd w:val="clear" w:color="auto" w:fill="auto"/>
                </w:tcPr>
                <w:p w:rsidR="005F735F" w:rsidRPr="006E3B60" w:rsidRDefault="005F735F" w:rsidP="003353AC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  <w:rPr>
                      <w:color w:val="000000"/>
                      <w:sz w:val="18"/>
                      <w:szCs w:val="18"/>
                      <w:lang w:val="be-BY"/>
                    </w:rPr>
                  </w:pPr>
                </w:p>
                <w:p w:rsidR="005F735F" w:rsidRPr="006E3B60" w:rsidRDefault="005F735F" w:rsidP="003353AC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line="220" w:lineRule="exact"/>
                    <w:jc w:val="center"/>
                    <w:rPr>
                      <w:color w:val="000000"/>
                      <w:sz w:val="16"/>
                      <w:szCs w:val="16"/>
                      <w:lang w:val="be-BY"/>
                    </w:rPr>
                  </w:pPr>
                </w:p>
              </w:tc>
            </w:tr>
          </w:tbl>
          <w:p w:rsidR="005F735F" w:rsidRPr="0054497A" w:rsidRDefault="005F735F" w:rsidP="003353A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735F" w:rsidRPr="006E3B60" w:rsidTr="003353AC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94" w:type="dxa"/>
          <w:trHeight w:val="65"/>
        </w:trPr>
        <w:tc>
          <w:tcPr>
            <w:tcW w:w="5315" w:type="dxa"/>
          </w:tcPr>
          <w:p w:rsidR="005F735F" w:rsidRPr="006E3B60" w:rsidRDefault="005F735F" w:rsidP="003353AC">
            <w:pPr>
              <w:rPr>
                <w:sz w:val="28"/>
                <w:szCs w:val="28"/>
                <w:lang w:val="en-US"/>
              </w:rPr>
            </w:pPr>
            <w:r w:rsidRPr="006E3B60">
              <w:rPr>
                <w:sz w:val="28"/>
                <w:szCs w:val="28"/>
              </w:rPr>
              <w:t xml:space="preserve">            </w:t>
            </w:r>
            <w:r w:rsidRPr="006E3B60">
              <w:rPr>
                <w:sz w:val="28"/>
                <w:szCs w:val="28"/>
                <w:lang w:val="en-US"/>
              </w:rPr>
              <w:t>РЕШЕНИЕ</w:t>
            </w:r>
          </w:p>
        </w:tc>
        <w:tc>
          <w:tcPr>
            <w:tcW w:w="5316" w:type="dxa"/>
            <w:gridSpan w:val="2"/>
          </w:tcPr>
          <w:p w:rsidR="005F735F" w:rsidRPr="006E3B60" w:rsidRDefault="005F735F" w:rsidP="003353AC">
            <w:pPr>
              <w:rPr>
                <w:sz w:val="28"/>
                <w:szCs w:val="28"/>
              </w:rPr>
            </w:pPr>
            <w:r w:rsidRPr="006E3B60">
              <w:rPr>
                <w:lang w:val="en-US"/>
              </w:rPr>
              <w:t xml:space="preserve">                     </w:t>
            </w:r>
            <w:r w:rsidRPr="006E3B60">
              <w:rPr>
                <w:sz w:val="28"/>
                <w:szCs w:val="28"/>
                <w:lang w:val="en-US"/>
              </w:rPr>
              <w:t xml:space="preserve">         КАРАР</w:t>
            </w:r>
          </w:p>
          <w:p w:rsidR="005F735F" w:rsidRPr="006E3B60" w:rsidRDefault="005F735F" w:rsidP="003353AC">
            <w:pPr>
              <w:rPr>
                <w:sz w:val="28"/>
                <w:szCs w:val="28"/>
              </w:rPr>
            </w:pPr>
          </w:p>
        </w:tc>
      </w:tr>
    </w:tbl>
    <w:p w:rsidR="005F735F" w:rsidRPr="00111186" w:rsidRDefault="005F735F" w:rsidP="005F735F">
      <w:pPr>
        <w:jc w:val="both"/>
        <w:rPr>
          <w:sz w:val="28"/>
          <w:szCs w:val="28"/>
        </w:rPr>
      </w:pPr>
      <w:r w:rsidRPr="00111186">
        <w:rPr>
          <w:sz w:val="28"/>
          <w:szCs w:val="28"/>
        </w:rPr>
        <w:t>№</w:t>
      </w:r>
      <w:r>
        <w:rPr>
          <w:sz w:val="28"/>
          <w:szCs w:val="28"/>
        </w:rPr>
        <w:t xml:space="preserve"> 94                                            </w:t>
      </w:r>
      <w:r w:rsidRPr="006E3B6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лабуга</w:t>
      </w:r>
      <w:proofErr w:type="spellEnd"/>
      <w:r>
        <w:rPr>
          <w:sz w:val="28"/>
          <w:szCs w:val="28"/>
        </w:rPr>
        <w:t xml:space="preserve">                               25 июля 2017г.</w:t>
      </w:r>
    </w:p>
    <w:p w:rsidR="005F735F" w:rsidRDefault="005F735F" w:rsidP="005F735F">
      <w:pPr>
        <w:jc w:val="center"/>
      </w:pPr>
    </w:p>
    <w:p w:rsidR="005F735F" w:rsidRDefault="005F735F" w:rsidP="005F735F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городского Совета  от 27.06.2011 № 51 «Об утверждении Положения о порядке организации и осуществления территориального общественного самоуправления в муниципальном образовании город Елабуга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5F735F" w:rsidRPr="00D904FC" w:rsidRDefault="005F735F" w:rsidP="005F735F">
      <w:pPr>
        <w:ind w:firstLine="900"/>
        <w:jc w:val="center"/>
        <w:rPr>
          <w:sz w:val="28"/>
          <w:szCs w:val="28"/>
        </w:rPr>
      </w:pPr>
    </w:p>
    <w:p w:rsidR="005F735F" w:rsidRDefault="005F735F" w:rsidP="005F735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города Елабуги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городской Совет </w:t>
      </w:r>
    </w:p>
    <w:p w:rsidR="005F735F" w:rsidRDefault="005F735F" w:rsidP="005F735F">
      <w:pPr>
        <w:ind w:firstLine="902"/>
        <w:jc w:val="both"/>
        <w:rPr>
          <w:sz w:val="28"/>
          <w:szCs w:val="28"/>
        </w:rPr>
      </w:pPr>
    </w:p>
    <w:p w:rsidR="005F735F" w:rsidRDefault="005F735F" w:rsidP="005F735F">
      <w:pPr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735F" w:rsidRPr="00165750" w:rsidRDefault="005F735F" w:rsidP="005F735F">
      <w:pPr>
        <w:ind w:firstLine="902"/>
        <w:jc w:val="both"/>
        <w:rPr>
          <w:sz w:val="28"/>
          <w:szCs w:val="28"/>
        </w:rPr>
      </w:pPr>
    </w:p>
    <w:p w:rsidR="005F735F" w:rsidRDefault="005F735F" w:rsidP="005F735F">
      <w:pPr>
        <w:ind w:firstLine="90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Внести следующие изменения в Положение о порядке организации и осуществления территориального общественного самоуправления в муниципальном образовании город Елабуга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утвержденное  решением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городского Совета за №51   от 27.06.2011</w:t>
      </w:r>
      <w:bookmarkEnd w:id="0"/>
      <w:r>
        <w:rPr>
          <w:sz w:val="28"/>
          <w:szCs w:val="28"/>
        </w:rPr>
        <w:t>:</w:t>
      </w:r>
    </w:p>
    <w:p w:rsidR="005F735F" w:rsidRDefault="005F735F" w:rsidP="005F73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3) части 2 статьи 5 изложить в следующей редакции:</w:t>
      </w:r>
    </w:p>
    <w:p w:rsidR="005F735F" w:rsidRDefault="005F735F" w:rsidP="005F735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после установления </w:t>
      </w:r>
      <w:proofErr w:type="spellStart"/>
      <w:r>
        <w:rPr>
          <w:sz w:val="28"/>
          <w:szCs w:val="28"/>
        </w:rPr>
        <w:t>Елабужским</w:t>
      </w:r>
      <w:proofErr w:type="spellEnd"/>
      <w:r>
        <w:rPr>
          <w:sz w:val="28"/>
          <w:szCs w:val="28"/>
        </w:rPr>
        <w:t xml:space="preserve"> городским Советом границ территориального общественного самоуправления созывает собрание или конференцию граждан, на рассмотрение которого выносит вопросы об учреждении на соответствующей территории города территориального общественного самоуправления, принятии Устава территориального общественного самоуправления и определении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самоуправления».</w:t>
      </w:r>
      <w:proofErr w:type="gramEnd"/>
    </w:p>
    <w:p w:rsidR="005F735F" w:rsidRDefault="005F735F" w:rsidP="005F73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6 статьи 6 изложить в следующей редакции: </w:t>
      </w:r>
    </w:p>
    <w:p w:rsidR="005F735F" w:rsidRDefault="005F735F" w:rsidP="005F73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В случае установления границ </w:t>
      </w:r>
      <w:proofErr w:type="spellStart"/>
      <w:r>
        <w:rPr>
          <w:sz w:val="28"/>
          <w:szCs w:val="28"/>
        </w:rPr>
        <w:t>Елабужским</w:t>
      </w:r>
      <w:proofErr w:type="spellEnd"/>
      <w:r>
        <w:rPr>
          <w:sz w:val="28"/>
          <w:szCs w:val="28"/>
        </w:rPr>
        <w:t xml:space="preserve"> городским Советом инициативная группа вправе начать процедуру созыва учредительного собрания или конференции».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1" w:name="sub_8"/>
      <w:r>
        <w:rPr>
          <w:sz w:val="28"/>
          <w:szCs w:val="28"/>
        </w:rPr>
        <w:t>Статью 8 изложить в следующей редакции: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1528C">
        <w:rPr>
          <w:b/>
          <w:bCs/>
          <w:sz w:val="28"/>
          <w:szCs w:val="28"/>
        </w:rPr>
        <w:t>Статья 8</w:t>
      </w:r>
      <w:r w:rsidRPr="00C1528C">
        <w:rPr>
          <w:sz w:val="28"/>
          <w:szCs w:val="28"/>
        </w:rPr>
        <w:t xml:space="preserve">. Учредительное собрание </w:t>
      </w:r>
      <w:r>
        <w:rPr>
          <w:sz w:val="28"/>
          <w:szCs w:val="28"/>
        </w:rPr>
        <w:t>или конференция граждан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81"/>
      <w:bookmarkEnd w:id="1"/>
      <w:r w:rsidRPr="00C1528C">
        <w:rPr>
          <w:sz w:val="28"/>
          <w:szCs w:val="28"/>
        </w:rPr>
        <w:lastRenderedPageBreak/>
        <w:t>1. Организацию и проведение учредительного собрания</w:t>
      </w:r>
      <w:r>
        <w:rPr>
          <w:sz w:val="28"/>
          <w:szCs w:val="28"/>
        </w:rPr>
        <w:t xml:space="preserve"> или конференции</w:t>
      </w:r>
      <w:r w:rsidRPr="00C1528C">
        <w:rPr>
          <w:sz w:val="28"/>
          <w:szCs w:val="28"/>
        </w:rPr>
        <w:t xml:space="preserve">  обеспечивает инициативная группа граждан.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82"/>
      <w:bookmarkEnd w:id="2"/>
      <w:r w:rsidRPr="00C1528C">
        <w:rPr>
          <w:sz w:val="28"/>
          <w:szCs w:val="28"/>
        </w:rPr>
        <w:t xml:space="preserve">2. </w:t>
      </w:r>
      <w:bookmarkStart w:id="4" w:name="sub_1085"/>
      <w:bookmarkEnd w:id="3"/>
      <w:r w:rsidRPr="00C1528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территории, на которой предполагается осуществление территориального общественного самоуправления, проживает более 200 человек, может быть проведена учредительная конференция.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делегатов на учредительную конференцию должно обеспечивать норму представительства не менее 1 представителя от дома (квартиры, подъезда) или 1 представителя от 200 граждан.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Делегат на учредительную конференцию избирается на собрании граждан либо путем сбора подписей граждан, представителем которых он является.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528C">
        <w:rPr>
          <w:sz w:val="28"/>
          <w:szCs w:val="28"/>
        </w:rPr>
        <w:t>О</w:t>
      </w:r>
      <w:r>
        <w:rPr>
          <w:sz w:val="28"/>
          <w:szCs w:val="28"/>
        </w:rPr>
        <w:t xml:space="preserve"> созыве учредительного собрания или конференции</w:t>
      </w:r>
      <w:r w:rsidRPr="00C1528C">
        <w:rPr>
          <w:sz w:val="28"/>
          <w:szCs w:val="28"/>
        </w:rPr>
        <w:t>, дате, времени и месте его проведения инициативная группа извещает жителей соответствующей территории не менее</w:t>
      </w:r>
      <w:proofErr w:type="gramStart"/>
      <w:r w:rsidRPr="00C1528C">
        <w:rPr>
          <w:sz w:val="28"/>
          <w:szCs w:val="28"/>
        </w:rPr>
        <w:t>,</w:t>
      </w:r>
      <w:proofErr w:type="gramEnd"/>
      <w:r w:rsidRPr="00C1528C">
        <w:rPr>
          <w:sz w:val="28"/>
          <w:szCs w:val="28"/>
        </w:rPr>
        <w:t xml:space="preserve">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обход квартир и т.п.), а также </w:t>
      </w:r>
      <w:proofErr w:type="spellStart"/>
      <w:r w:rsidRPr="00C1528C">
        <w:rPr>
          <w:sz w:val="28"/>
          <w:szCs w:val="28"/>
        </w:rPr>
        <w:t>Елабужский</w:t>
      </w:r>
      <w:proofErr w:type="spellEnd"/>
      <w:r w:rsidRPr="00C1528C">
        <w:rPr>
          <w:sz w:val="28"/>
          <w:szCs w:val="28"/>
        </w:rPr>
        <w:t xml:space="preserve"> городской Совет, Исполнительный комитет города  в письменной форме.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проведения учредительной конференции инициативная группа организует избрание делегатов конференции и извещение их о дате, времени, месте ее проведения.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86"/>
      <w:bookmarkEnd w:id="4"/>
      <w:r>
        <w:rPr>
          <w:sz w:val="28"/>
          <w:szCs w:val="28"/>
        </w:rPr>
        <w:t xml:space="preserve">7. </w:t>
      </w:r>
      <w:bookmarkStart w:id="6" w:name="sub_1087"/>
      <w:bookmarkEnd w:id="5"/>
      <w:r w:rsidRPr="00C1528C">
        <w:rPr>
          <w:sz w:val="28"/>
          <w:szCs w:val="28"/>
        </w:rPr>
        <w:t xml:space="preserve"> Перед началом собрания  проводится регистрация жителей соответствующей те</w:t>
      </w:r>
      <w:r>
        <w:rPr>
          <w:sz w:val="28"/>
          <w:szCs w:val="28"/>
        </w:rPr>
        <w:t>рритории (делегатов конференции), прибывших на собрание или конференцию</w:t>
      </w:r>
      <w:r w:rsidRPr="00C1528C">
        <w:rPr>
          <w:sz w:val="28"/>
          <w:szCs w:val="28"/>
        </w:rPr>
        <w:t>.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88"/>
      <w:bookmarkEnd w:id="6"/>
      <w:r>
        <w:rPr>
          <w:sz w:val="28"/>
          <w:szCs w:val="28"/>
        </w:rPr>
        <w:t>8</w:t>
      </w:r>
      <w:r w:rsidRPr="00C1528C">
        <w:rPr>
          <w:sz w:val="28"/>
          <w:szCs w:val="28"/>
        </w:rPr>
        <w:t>. Учредительное собрание считается правомочным, если в не</w:t>
      </w:r>
      <w:r>
        <w:rPr>
          <w:sz w:val="28"/>
          <w:szCs w:val="28"/>
        </w:rPr>
        <w:t>м принимают участие не менее одной трети</w:t>
      </w:r>
      <w:r w:rsidRPr="00C1528C">
        <w:rPr>
          <w:sz w:val="28"/>
          <w:szCs w:val="28"/>
        </w:rPr>
        <w:t xml:space="preserve"> жителей соответствующей территории, достиг</w:t>
      </w:r>
      <w:r>
        <w:rPr>
          <w:sz w:val="28"/>
          <w:szCs w:val="28"/>
        </w:rPr>
        <w:t>ших шестнадцатилетнего возраста.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Учредительная конференция правомочна, если в ней участвуют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89"/>
      <w:bookmarkEnd w:id="7"/>
      <w:r>
        <w:rPr>
          <w:sz w:val="28"/>
          <w:szCs w:val="28"/>
        </w:rPr>
        <w:t xml:space="preserve">10. </w:t>
      </w:r>
      <w:bookmarkStart w:id="9" w:name="sub_110"/>
      <w:bookmarkEnd w:id="8"/>
      <w:r>
        <w:rPr>
          <w:sz w:val="28"/>
          <w:szCs w:val="28"/>
        </w:rPr>
        <w:t>На собрании</w:t>
      </w:r>
      <w:r w:rsidRPr="00C15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конференции </w:t>
      </w:r>
      <w:r w:rsidRPr="00C1528C">
        <w:rPr>
          <w:sz w:val="28"/>
          <w:szCs w:val="28"/>
        </w:rPr>
        <w:t>избирается председательствующий и секретарь.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811"/>
      <w:bookmarkEnd w:id="9"/>
      <w:r>
        <w:rPr>
          <w:sz w:val="28"/>
          <w:szCs w:val="28"/>
        </w:rPr>
        <w:t>11</w:t>
      </w:r>
      <w:r w:rsidRPr="00C1528C">
        <w:rPr>
          <w:sz w:val="28"/>
          <w:szCs w:val="28"/>
        </w:rPr>
        <w:t xml:space="preserve">. Процедура проведения собрания  </w:t>
      </w:r>
      <w:r>
        <w:rPr>
          <w:sz w:val="28"/>
          <w:szCs w:val="28"/>
        </w:rPr>
        <w:t xml:space="preserve">или конференции </w:t>
      </w:r>
      <w:r w:rsidRPr="00C1528C">
        <w:rPr>
          <w:sz w:val="28"/>
          <w:szCs w:val="28"/>
        </w:rPr>
        <w:t xml:space="preserve">отражается в протоколе, который ведется в свободной письменной форме секретарем собрания </w:t>
      </w:r>
      <w:r>
        <w:rPr>
          <w:sz w:val="28"/>
          <w:szCs w:val="28"/>
        </w:rPr>
        <w:t xml:space="preserve">или конференции </w:t>
      </w:r>
      <w:r w:rsidRPr="00C1528C">
        <w:rPr>
          <w:sz w:val="28"/>
          <w:szCs w:val="28"/>
        </w:rPr>
        <w:t>и подписывается председател</w:t>
      </w:r>
      <w:r>
        <w:rPr>
          <w:sz w:val="28"/>
          <w:szCs w:val="28"/>
        </w:rPr>
        <w:t>ьствующим и секретарем собрания или конференции</w:t>
      </w:r>
      <w:r w:rsidRPr="00C1528C">
        <w:rPr>
          <w:sz w:val="28"/>
          <w:szCs w:val="28"/>
        </w:rPr>
        <w:t>.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812"/>
      <w:bookmarkEnd w:id="10"/>
      <w:r>
        <w:rPr>
          <w:sz w:val="28"/>
          <w:szCs w:val="28"/>
        </w:rPr>
        <w:t>12</w:t>
      </w:r>
      <w:r w:rsidRPr="00C1528C">
        <w:rPr>
          <w:sz w:val="28"/>
          <w:szCs w:val="28"/>
        </w:rPr>
        <w:t>. Органы местного самоуправления вправе направить своего представителя для у</w:t>
      </w:r>
      <w:r>
        <w:rPr>
          <w:sz w:val="28"/>
          <w:szCs w:val="28"/>
        </w:rPr>
        <w:t xml:space="preserve">частия в учредительном собрании или конференции </w:t>
      </w:r>
      <w:r w:rsidRPr="00C1528C">
        <w:rPr>
          <w:sz w:val="28"/>
          <w:szCs w:val="28"/>
        </w:rPr>
        <w:t xml:space="preserve"> с правом совещательного голоса.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813"/>
      <w:bookmarkEnd w:id="11"/>
      <w:r>
        <w:rPr>
          <w:sz w:val="28"/>
          <w:szCs w:val="28"/>
        </w:rPr>
        <w:t>13</w:t>
      </w:r>
      <w:r w:rsidRPr="00C1528C">
        <w:rPr>
          <w:sz w:val="28"/>
          <w:szCs w:val="28"/>
        </w:rPr>
        <w:t>. На учредительном собрании</w:t>
      </w:r>
      <w:r>
        <w:rPr>
          <w:sz w:val="28"/>
          <w:szCs w:val="28"/>
        </w:rPr>
        <w:t xml:space="preserve"> или конференции </w:t>
      </w:r>
      <w:r w:rsidRPr="00C15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 решения: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12"/>
      <w:r w:rsidRPr="00C1528C">
        <w:rPr>
          <w:sz w:val="28"/>
          <w:szCs w:val="28"/>
        </w:rPr>
        <w:t>об учреждении территориального общественного самоуправления в гран</w:t>
      </w:r>
      <w:r>
        <w:rPr>
          <w:sz w:val="28"/>
          <w:szCs w:val="28"/>
        </w:rPr>
        <w:t>ицах соответствующей территории;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избрании органов территориального общественного самоуправления;</w:t>
      </w:r>
    </w:p>
    <w:p w:rsidR="005F735F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1528C">
        <w:rPr>
          <w:sz w:val="28"/>
          <w:szCs w:val="28"/>
        </w:rPr>
        <w:t xml:space="preserve"> о принятии Устава территориально</w:t>
      </w:r>
      <w:r>
        <w:rPr>
          <w:sz w:val="28"/>
          <w:szCs w:val="28"/>
        </w:rPr>
        <w:t>го общественного самоуправления;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избрании представителя, уполномоченного представлять территориальное общественное самоуправления при рассмотрении вопросов, связанных с регистрацией устава территориального общественного самоуправления.</w:t>
      </w:r>
    </w:p>
    <w:p w:rsidR="005F735F" w:rsidRPr="00C1528C" w:rsidRDefault="005F735F" w:rsidP="005F7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28C">
        <w:rPr>
          <w:sz w:val="28"/>
          <w:szCs w:val="28"/>
        </w:rPr>
        <w:t>Указанные решения принимаются открытым голосованием простым большинством голосов</w:t>
      </w:r>
      <w:proofErr w:type="gramStart"/>
      <w:r w:rsidRPr="00C1528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F735F" w:rsidRDefault="005F735F" w:rsidP="005F73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Часть 1 статьи 10 изложить в следующей редакции:</w:t>
      </w:r>
    </w:p>
    <w:p w:rsidR="005F735F" w:rsidRDefault="005F735F" w:rsidP="005F73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«Для регистрации Устава территориального общественного самоуправления уполномоченным представителем (уполномоченными представителями) территориального общественного самоуправления Мэру города представляются:</w:t>
      </w:r>
    </w:p>
    <w:p w:rsidR="005F735F" w:rsidRDefault="005F735F" w:rsidP="005F735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заявление о регистрации Устава территориального общественного самоуправления, подписанное всеми уполномоченными представителями собрания граждан;</w:t>
      </w:r>
      <w:proofErr w:type="gramEnd"/>
    </w:p>
    <w:p w:rsidR="005F735F" w:rsidRDefault="005F735F" w:rsidP="005F73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протокол собрания или конференции граждан, на котором было принято решение о создании территориального общественного самоуправления, с указанием фамилии, имени, отчества, даты рождения, серии, номера и даты выдачи паспорта или документа, заменяющего паспорт, адрес места жительства каждого из уполномоченных представителей;</w:t>
      </w:r>
    </w:p>
    <w:p w:rsidR="005F735F" w:rsidRPr="00E95F20" w:rsidRDefault="005F735F" w:rsidP="005F73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два экземпляра Устава территориального общественного самоуправления.</w:t>
      </w:r>
    </w:p>
    <w:p w:rsidR="005F735F" w:rsidRPr="00165750" w:rsidRDefault="005F735F" w:rsidP="005F735F">
      <w:pPr>
        <w:ind w:firstLine="900"/>
        <w:jc w:val="both"/>
        <w:rPr>
          <w:sz w:val="28"/>
          <w:szCs w:val="28"/>
        </w:rPr>
      </w:pPr>
      <w:bookmarkStart w:id="13" w:name="sub_4"/>
      <w:r>
        <w:rPr>
          <w:sz w:val="28"/>
          <w:szCs w:val="28"/>
        </w:rPr>
        <w:t>2</w:t>
      </w:r>
      <w:r w:rsidRPr="00165750">
        <w:rPr>
          <w:sz w:val="28"/>
          <w:szCs w:val="28"/>
        </w:rPr>
        <w:t xml:space="preserve">. Настоящее решение вступает в силу после его </w:t>
      </w:r>
      <w:hyperlink r:id="rId6" w:history="1">
        <w:r w:rsidRPr="00165750">
          <w:rPr>
            <w:rStyle w:val="a3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в средствах массовой информации</w:t>
      </w:r>
      <w:r w:rsidRPr="00165750">
        <w:rPr>
          <w:sz w:val="28"/>
          <w:szCs w:val="28"/>
        </w:rPr>
        <w:t>.</w:t>
      </w:r>
    </w:p>
    <w:p w:rsidR="005F735F" w:rsidRPr="00165750" w:rsidRDefault="005F735F" w:rsidP="005F735F">
      <w:pPr>
        <w:ind w:firstLine="900"/>
        <w:jc w:val="both"/>
        <w:rPr>
          <w:sz w:val="28"/>
          <w:szCs w:val="28"/>
        </w:rPr>
      </w:pPr>
      <w:bookmarkStart w:id="14" w:name="sub_5"/>
      <w:bookmarkEnd w:id="13"/>
      <w:r>
        <w:rPr>
          <w:sz w:val="28"/>
          <w:szCs w:val="28"/>
        </w:rPr>
        <w:t>3</w:t>
      </w:r>
      <w:r w:rsidRPr="0016575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правопорядка и законности, градостроительству, инфраструктурного развития и реформирования ЖКХ</w:t>
      </w:r>
      <w:r w:rsidRPr="00165750">
        <w:rPr>
          <w:sz w:val="28"/>
          <w:szCs w:val="28"/>
        </w:rPr>
        <w:t>.</w:t>
      </w:r>
    </w:p>
    <w:bookmarkEnd w:id="14"/>
    <w:p w:rsidR="005F735F" w:rsidRPr="00165750" w:rsidRDefault="005F735F" w:rsidP="005F735F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8"/>
        <w:gridCol w:w="3215"/>
      </w:tblGrid>
      <w:tr w:rsidR="005F735F" w:rsidRPr="00D904FC" w:rsidTr="003353AC">
        <w:tblPrEx>
          <w:tblCellMar>
            <w:top w:w="0" w:type="dxa"/>
            <w:bottom w:w="0" w:type="dxa"/>
          </w:tblCellMar>
        </w:tblPrEx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5F735F" w:rsidRPr="007A16AB" w:rsidRDefault="005F735F" w:rsidP="003353AC">
            <w:r w:rsidRPr="007A16AB">
              <w:rPr>
                <w:bCs/>
                <w:sz w:val="28"/>
                <w:szCs w:val="28"/>
              </w:rPr>
              <w:t xml:space="preserve">Председатель                                       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F735F" w:rsidRPr="007A16AB" w:rsidRDefault="005F735F" w:rsidP="003353AC">
            <w:r>
              <w:rPr>
                <w:bCs/>
                <w:sz w:val="28"/>
                <w:szCs w:val="28"/>
              </w:rPr>
              <w:t xml:space="preserve">               </w:t>
            </w:r>
            <w:r w:rsidRPr="007A16AB">
              <w:rPr>
                <w:bCs/>
                <w:sz w:val="28"/>
                <w:szCs w:val="28"/>
              </w:rPr>
              <w:t xml:space="preserve">Г.Е. Емельянов                                                                 </w:t>
            </w:r>
          </w:p>
        </w:tc>
      </w:tr>
    </w:tbl>
    <w:p w:rsidR="008E6255" w:rsidRDefault="008E6255">
      <w:bookmarkStart w:id="15" w:name="_GoBack"/>
      <w:bookmarkEnd w:id="15"/>
    </w:p>
    <w:sectPr w:rsidR="008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5F"/>
    <w:rsid w:val="005F735F"/>
    <w:rsid w:val="008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F735F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F7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F735F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F7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53164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1</cp:revision>
  <dcterms:created xsi:type="dcterms:W3CDTF">2017-07-31T04:49:00Z</dcterms:created>
  <dcterms:modified xsi:type="dcterms:W3CDTF">2017-07-31T04:49:00Z</dcterms:modified>
</cp:coreProperties>
</file>