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34" w:rsidRPr="00FC39F0" w:rsidRDefault="00DD1334" w:rsidP="00DD1334">
      <w:pPr>
        <w:jc w:val="center"/>
        <w:outlineLvl w:val="2"/>
        <w:rPr>
          <w:bCs/>
          <w:sz w:val="28"/>
          <w:szCs w:val="28"/>
        </w:rPr>
      </w:pPr>
      <w:bookmarkStart w:id="0" w:name="_GoBack"/>
      <w:bookmarkEnd w:id="0"/>
      <w:r w:rsidRPr="00FC39F0">
        <w:rPr>
          <w:bCs/>
          <w:sz w:val="28"/>
          <w:szCs w:val="28"/>
        </w:rPr>
        <w:t>ОСНОВНЫЕ НАПРАВЛЕНИЯ</w:t>
      </w:r>
    </w:p>
    <w:p w:rsidR="0031079F" w:rsidRPr="00FC39F0" w:rsidRDefault="00DD1334" w:rsidP="00DD1334">
      <w:pPr>
        <w:jc w:val="center"/>
        <w:outlineLvl w:val="2"/>
        <w:rPr>
          <w:bCs/>
          <w:sz w:val="28"/>
          <w:szCs w:val="28"/>
        </w:rPr>
      </w:pPr>
      <w:r w:rsidRPr="00FC39F0">
        <w:rPr>
          <w:bCs/>
          <w:sz w:val="28"/>
          <w:szCs w:val="28"/>
        </w:rPr>
        <w:t xml:space="preserve">бюджетной </w:t>
      </w:r>
      <w:r w:rsidR="00765EAF">
        <w:rPr>
          <w:bCs/>
          <w:sz w:val="28"/>
          <w:szCs w:val="28"/>
        </w:rPr>
        <w:t xml:space="preserve">и налоговой </w:t>
      </w:r>
      <w:r w:rsidRPr="00FC39F0">
        <w:rPr>
          <w:bCs/>
          <w:sz w:val="28"/>
          <w:szCs w:val="28"/>
        </w:rPr>
        <w:t>политики Елабужского муниципального района</w:t>
      </w:r>
    </w:p>
    <w:p w:rsidR="00DD1334" w:rsidRDefault="00DD1334" w:rsidP="00765EAF">
      <w:pPr>
        <w:jc w:val="center"/>
        <w:outlineLvl w:val="2"/>
        <w:rPr>
          <w:bCs/>
          <w:sz w:val="28"/>
          <w:szCs w:val="28"/>
        </w:rPr>
      </w:pPr>
      <w:r w:rsidRPr="00FC39F0">
        <w:rPr>
          <w:bCs/>
          <w:sz w:val="28"/>
          <w:szCs w:val="28"/>
        </w:rPr>
        <w:t>на 20</w:t>
      </w:r>
      <w:r w:rsidR="00BD63D9">
        <w:rPr>
          <w:bCs/>
          <w:sz w:val="28"/>
          <w:szCs w:val="28"/>
        </w:rPr>
        <w:t>2</w:t>
      </w:r>
      <w:r w:rsidR="00524FC1">
        <w:rPr>
          <w:bCs/>
          <w:sz w:val="28"/>
          <w:szCs w:val="28"/>
        </w:rPr>
        <w:t>2</w:t>
      </w:r>
      <w:r w:rsidR="00765EAF">
        <w:rPr>
          <w:bCs/>
          <w:sz w:val="28"/>
          <w:szCs w:val="28"/>
        </w:rPr>
        <w:t xml:space="preserve"> год и плановый период 20</w:t>
      </w:r>
      <w:r w:rsidR="001E5411">
        <w:rPr>
          <w:bCs/>
          <w:sz w:val="28"/>
          <w:szCs w:val="28"/>
        </w:rPr>
        <w:t>2</w:t>
      </w:r>
      <w:r w:rsidR="00524FC1">
        <w:rPr>
          <w:bCs/>
          <w:sz w:val="28"/>
          <w:szCs w:val="28"/>
        </w:rPr>
        <w:t>3</w:t>
      </w:r>
      <w:r w:rsidR="00765EAF">
        <w:rPr>
          <w:bCs/>
          <w:sz w:val="28"/>
          <w:szCs w:val="28"/>
        </w:rPr>
        <w:t xml:space="preserve"> и 202</w:t>
      </w:r>
      <w:r w:rsidR="00524FC1">
        <w:rPr>
          <w:bCs/>
          <w:sz w:val="28"/>
          <w:szCs w:val="28"/>
        </w:rPr>
        <w:t>4</w:t>
      </w:r>
      <w:r w:rsidR="00765EAF">
        <w:rPr>
          <w:bCs/>
          <w:sz w:val="28"/>
          <w:szCs w:val="28"/>
        </w:rPr>
        <w:t xml:space="preserve"> годов</w:t>
      </w:r>
    </w:p>
    <w:p w:rsidR="00765EAF" w:rsidRDefault="00765EAF" w:rsidP="00765EAF">
      <w:pPr>
        <w:jc w:val="center"/>
        <w:outlineLvl w:val="2"/>
        <w:rPr>
          <w:b/>
          <w:bCs/>
          <w:sz w:val="28"/>
          <w:szCs w:val="28"/>
        </w:rPr>
      </w:pPr>
    </w:p>
    <w:p w:rsidR="00F46C07" w:rsidRPr="00D86BA0" w:rsidRDefault="00416710" w:rsidP="00416710">
      <w:pPr>
        <w:pStyle w:val="a6"/>
        <w:spacing w:line="276" w:lineRule="auto"/>
        <w:ind w:firstLine="709"/>
        <w:rPr>
          <w:sz w:val="28"/>
          <w:szCs w:val="28"/>
        </w:rPr>
      </w:pPr>
      <w:r w:rsidRPr="00D86BA0">
        <w:rPr>
          <w:sz w:val="28"/>
          <w:szCs w:val="28"/>
        </w:rPr>
        <w:t>Основные направления налоговой политики Елабужского муниципального района на 20</w:t>
      </w:r>
      <w:r w:rsidR="00BD63D9" w:rsidRPr="00D86BA0">
        <w:rPr>
          <w:sz w:val="28"/>
          <w:szCs w:val="28"/>
        </w:rPr>
        <w:t>2</w:t>
      </w:r>
      <w:r w:rsidR="00524FC1" w:rsidRPr="00D86BA0">
        <w:rPr>
          <w:sz w:val="28"/>
          <w:szCs w:val="28"/>
        </w:rPr>
        <w:t>2</w:t>
      </w:r>
      <w:r w:rsidRPr="00D86BA0">
        <w:rPr>
          <w:sz w:val="28"/>
          <w:szCs w:val="28"/>
        </w:rPr>
        <w:t xml:space="preserve"> год и плановый период 20</w:t>
      </w:r>
      <w:r w:rsidR="001E5411" w:rsidRPr="00D86BA0">
        <w:rPr>
          <w:sz w:val="28"/>
          <w:szCs w:val="28"/>
        </w:rPr>
        <w:t>2</w:t>
      </w:r>
      <w:r w:rsidR="00524FC1" w:rsidRPr="00D86BA0">
        <w:rPr>
          <w:sz w:val="28"/>
          <w:szCs w:val="28"/>
        </w:rPr>
        <w:t>3</w:t>
      </w:r>
      <w:r w:rsidRPr="00D86BA0">
        <w:rPr>
          <w:sz w:val="28"/>
          <w:szCs w:val="28"/>
        </w:rPr>
        <w:t xml:space="preserve"> и 202</w:t>
      </w:r>
      <w:r w:rsidR="00524FC1" w:rsidRPr="00D86BA0">
        <w:rPr>
          <w:sz w:val="28"/>
          <w:szCs w:val="28"/>
        </w:rPr>
        <w:t>4</w:t>
      </w:r>
      <w:r w:rsidRPr="00D86BA0">
        <w:rPr>
          <w:sz w:val="28"/>
          <w:szCs w:val="28"/>
        </w:rPr>
        <w:t xml:space="preserve"> годов сформированы в рамках подготовки проекта бюджета Елабужского муниципального района на очередной финансовый год и двухлетний плановый период на основании налоговой политики Российской Федерации, Республики Татарстан.</w:t>
      </w:r>
    </w:p>
    <w:p w:rsidR="00F46C07" w:rsidRPr="00D86BA0" w:rsidRDefault="00F46C07" w:rsidP="00F46C07">
      <w:pPr>
        <w:pStyle w:val="a3"/>
        <w:spacing w:line="276" w:lineRule="auto"/>
        <w:ind w:firstLine="709"/>
        <w:jc w:val="both"/>
        <w:rPr>
          <w:b w:val="0"/>
          <w:szCs w:val="28"/>
        </w:rPr>
      </w:pPr>
      <w:r w:rsidRPr="00D86BA0">
        <w:rPr>
          <w:b w:val="0"/>
          <w:szCs w:val="28"/>
        </w:rPr>
        <w:t xml:space="preserve">Приоритетным направлением налоговой политики </w:t>
      </w:r>
      <w:r w:rsidR="00976D6F" w:rsidRPr="00D86BA0">
        <w:rPr>
          <w:b w:val="0"/>
          <w:szCs w:val="28"/>
        </w:rPr>
        <w:t>Елабужского муниципального района</w:t>
      </w:r>
      <w:r w:rsidRPr="00D86BA0">
        <w:rPr>
          <w:b w:val="0"/>
          <w:szCs w:val="28"/>
        </w:rPr>
        <w:t xml:space="preserve"> является привлечение инвестиций, обеспечение благоприятного инвестицио</w:t>
      </w:r>
      <w:r w:rsidRPr="00D86BA0">
        <w:rPr>
          <w:b w:val="0"/>
          <w:szCs w:val="28"/>
        </w:rPr>
        <w:t>н</w:t>
      </w:r>
      <w:r w:rsidRPr="00D86BA0">
        <w:rPr>
          <w:b w:val="0"/>
          <w:szCs w:val="28"/>
        </w:rPr>
        <w:t>ного климата, развитие инфраструктуры поддержки инвестиционной и предпринимательской деятельности, что в конечном итоге направлено на нар</w:t>
      </w:r>
      <w:r w:rsidRPr="00D86BA0">
        <w:rPr>
          <w:b w:val="0"/>
          <w:szCs w:val="28"/>
        </w:rPr>
        <w:t>а</w:t>
      </w:r>
      <w:r w:rsidRPr="00D86BA0">
        <w:rPr>
          <w:b w:val="0"/>
          <w:szCs w:val="28"/>
        </w:rPr>
        <w:t xml:space="preserve">щивание налогового потенциала </w:t>
      </w:r>
      <w:r w:rsidR="00976D6F" w:rsidRPr="00D86BA0">
        <w:rPr>
          <w:b w:val="0"/>
          <w:szCs w:val="28"/>
        </w:rPr>
        <w:t>района</w:t>
      </w:r>
      <w:r w:rsidRPr="00D86BA0">
        <w:rPr>
          <w:b w:val="0"/>
          <w:szCs w:val="28"/>
        </w:rPr>
        <w:t xml:space="preserve">. </w:t>
      </w:r>
    </w:p>
    <w:p w:rsidR="0025378E" w:rsidRPr="00591536" w:rsidRDefault="00F46C07" w:rsidP="00F46C0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1536">
        <w:rPr>
          <w:sz w:val="28"/>
          <w:szCs w:val="28"/>
        </w:rPr>
        <w:t xml:space="preserve">Ежегодно в целях увеличения доходной базы бюджета принимаются меры по привлечению перспективных налогоплательщиков за счет предоставления поддержки их инвестиционной деятельности. </w:t>
      </w:r>
    </w:p>
    <w:p w:rsidR="0025378E" w:rsidRDefault="0025378E" w:rsidP="002537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591536">
        <w:rPr>
          <w:bCs/>
          <w:sz w:val="28"/>
          <w:szCs w:val="28"/>
        </w:rPr>
        <w:t>В целях развития предпринимательства</w:t>
      </w:r>
      <w:r w:rsidRPr="00591536">
        <w:rPr>
          <w:sz w:val="28"/>
          <w:szCs w:val="28"/>
        </w:rPr>
        <w:t xml:space="preserve"> на 202</w:t>
      </w:r>
      <w:r w:rsidR="00524FC1" w:rsidRPr="00591536">
        <w:rPr>
          <w:sz w:val="28"/>
          <w:szCs w:val="28"/>
        </w:rPr>
        <w:t>2</w:t>
      </w:r>
      <w:r w:rsidRPr="00591536">
        <w:rPr>
          <w:sz w:val="28"/>
          <w:szCs w:val="28"/>
        </w:rPr>
        <w:t xml:space="preserve"> год продлено действие пониженных налоговых ставок по упрощенной системе налогообложения по объекту налогообложения «доходы, уменьшенные на величину расходов». Налоговая ставка в республике снижена с 15 до 10 процентов. Одновременно, для организаций и индивидуальных предпринимателей, осуществляющих деятельность в обрабатывающих производствах; </w:t>
      </w:r>
      <w:r w:rsidR="00524FC1" w:rsidRPr="00591536">
        <w:rPr>
          <w:sz w:val="28"/>
          <w:szCs w:val="28"/>
        </w:rPr>
        <w:t>строительстве; производстве</w:t>
      </w:r>
      <w:r w:rsidRPr="00591536">
        <w:rPr>
          <w:sz w:val="28"/>
          <w:szCs w:val="28"/>
        </w:rPr>
        <w:t xml:space="preserve"> и распределении электроэнергии, газа и воды, налоговая ставка установлена в размере 5 процентов.</w:t>
      </w:r>
    </w:p>
    <w:p w:rsidR="0032455E" w:rsidRPr="00591536" w:rsidRDefault="0032455E" w:rsidP="0032455E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внесены изменения в </w:t>
      </w:r>
      <w:r>
        <w:rPr>
          <w:color w:val="000000"/>
          <w:sz w:val="28"/>
          <w:szCs w:val="28"/>
        </w:rPr>
        <w:t>патентную систему налогообложения, установленную Законом Республики Татарстан от 29 сентября 2012 года № 65-ЗРТ «О введении на территории Республики Татарстан патентной системы налогообложения».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Перечень видов предпринимательской деятельности, в отношении которых может применяться патентная система налогообложения, дополнен новыми видами предпринимательской деятельности, а также скорректированы размеры потенциально возможного годового дохода. Налогоплательщикам, кроме того, предоставлено право с 2021 года уменьшать налог на сумму уплаченных страховых взносов.</w:t>
      </w:r>
      <w:r>
        <w:rPr>
          <w:sz w:val="28"/>
          <w:szCs w:val="28"/>
        </w:rPr>
        <w:t xml:space="preserve"> </w:t>
      </w:r>
    </w:p>
    <w:p w:rsidR="00F46C07" w:rsidRPr="00591536" w:rsidRDefault="00D42EAB" w:rsidP="00F46C0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1536">
        <w:rPr>
          <w:sz w:val="28"/>
          <w:szCs w:val="28"/>
        </w:rPr>
        <w:t>П</w:t>
      </w:r>
      <w:r w:rsidR="00F46C07" w:rsidRPr="00591536">
        <w:rPr>
          <w:sz w:val="28"/>
          <w:szCs w:val="28"/>
        </w:rPr>
        <w:t>о наращиванию объема налоговых и неналоговых дох</w:t>
      </w:r>
      <w:r w:rsidR="00F46C07" w:rsidRPr="00591536">
        <w:rPr>
          <w:sz w:val="28"/>
          <w:szCs w:val="28"/>
        </w:rPr>
        <w:t>о</w:t>
      </w:r>
      <w:r w:rsidR="00F46C07" w:rsidRPr="00591536">
        <w:rPr>
          <w:sz w:val="28"/>
          <w:szCs w:val="28"/>
        </w:rPr>
        <w:t xml:space="preserve">дов </w:t>
      </w:r>
      <w:r w:rsidRPr="00591536">
        <w:rPr>
          <w:sz w:val="28"/>
          <w:szCs w:val="28"/>
        </w:rPr>
        <w:t xml:space="preserve">осуществляются мероприятия </w:t>
      </w:r>
      <w:r w:rsidR="00F46C07" w:rsidRPr="00591536">
        <w:rPr>
          <w:sz w:val="28"/>
          <w:szCs w:val="28"/>
        </w:rPr>
        <w:t>по следующим основным направлениям:</w:t>
      </w:r>
    </w:p>
    <w:p w:rsidR="00F46C07" w:rsidRPr="00D86BA0" w:rsidRDefault="00F46C07" w:rsidP="00F46C0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591536">
        <w:rPr>
          <w:sz w:val="28"/>
          <w:szCs w:val="28"/>
        </w:rPr>
        <w:t>- межведомственная работа с организациями, допустившими снижение</w:t>
      </w:r>
      <w:r w:rsidRPr="00D86BA0">
        <w:rPr>
          <w:sz w:val="28"/>
          <w:szCs w:val="28"/>
        </w:rPr>
        <w:t xml:space="preserve"> налогов в местный бюджет, анализ факторов, влияющих на формирование прибыли </w:t>
      </w:r>
      <w:r w:rsidRPr="00D86BA0">
        <w:rPr>
          <w:sz w:val="28"/>
          <w:szCs w:val="28"/>
        </w:rPr>
        <w:lastRenderedPageBreak/>
        <w:t>(убытка), разработка предложений по достижению рентабельности и пр</w:t>
      </w:r>
      <w:r w:rsidRPr="00D86BA0">
        <w:rPr>
          <w:sz w:val="28"/>
          <w:szCs w:val="28"/>
        </w:rPr>
        <w:t>и</w:t>
      </w:r>
      <w:r w:rsidRPr="00D86BA0">
        <w:rPr>
          <w:sz w:val="28"/>
          <w:szCs w:val="28"/>
        </w:rPr>
        <w:t>быльности данных организаций;</w:t>
      </w:r>
    </w:p>
    <w:p w:rsidR="00F46C07" w:rsidRPr="00D86BA0" w:rsidRDefault="00F46C07" w:rsidP="00F46C0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BA0">
        <w:rPr>
          <w:sz w:val="28"/>
          <w:szCs w:val="28"/>
        </w:rPr>
        <w:t>- мониторинг налогоплательщиков в разрезе отраслей, снизивших поступления НДФЛ, л</w:t>
      </w:r>
      <w:r w:rsidRPr="00D86BA0">
        <w:rPr>
          <w:sz w:val="28"/>
          <w:szCs w:val="28"/>
        </w:rPr>
        <w:t>е</w:t>
      </w:r>
      <w:r w:rsidRPr="00D86BA0">
        <w:rPr>
          <w:sz w:val="28"/>
          <w:szCs w:val="28"/>
        </w:rPr>
        <w:t>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F46C07" w:rsidRPr="00D86BA0" w:rsidRDefault="00F46C07" w:rsidP="00F46C07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86BA0">
        <w:rPr>
          <w:sz w:val="28"/>
          <w:szCs w:val="28"/>
        </w:rPr>
        <w:t xml:space="preserve">- проведение работы по сокращению недоимки по налогам и сборам по постановлению главы Елабужского </w:t>
      </w:r>
      <w:r w:rsidR="002F3C09" w:rsidRPr="00D86BA0">
        <w:rPr>
          <w:sz w:val="28"/>
          <w:szCs w:val="28"/>
        </w:rPr>
        <w:t>м</w:t>
      </w:r>
      <w:r w:rsidRPr="00D86BA0">
        <w:rPr>
          <w:sz w:val="28"/>
          <w:szCs w:val="28"/>
        </w:rPr>
        <w:t>униципального района Республики Татарстан от 18.08.2016 № 1929-а, а также задолженности по арендным платежам и административным штрафам.</w:t>
      </w:r>
    </w:p>
    <w:p w:rsidR="000A7FE3" w:rsidRPr="0032455E" w:rsidRDefault="000A7FE3" w:rsidP="000A7FE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2455E">
        <w:rPr>
          <w:sz w:val="28"/>
          <w:szCs w:val="28"/>
        </w:rPr>
        <w:t xml:space="preserve">В соответствии с федеральным законодательством </w:t>
      </w:r>
      <w:r w:rsidR="003D781E" w:rsidRPr="0032455E">
        <w:rPr>
          <w:sz w:val="28"/>
          <w:szCs w:val="28"/>
        </w:rPr>
        <w:t xml:space="preserve">в муниципальных образованиях </w:t>
      </w:r>
      <w:r w:rsidR="00B36A33" w:rsidRPr="0032455E">
        <w:rPr>
          <w:sz w:val="28"/>
          <w:szCs w:val="28"/>
        </w:rPr>
        <w:t xml:space="preserve">Елабужского муниципального </w:t>
      </w:r>
      <w:r w:rsidR="003D781E" w:rsidRPr="0032455E">
        <w:rPr>
          <w:sz w:val="28"/>
          <w:szCs w:val="28"/>
        </w:rPr>
        <w:t>приняты реше</w:t>
      </w:r>
      <w:r w:rsidR="0025378E" w:rsidRPr="0032455E">
        <w:rPr>
          <w:sz w:val="28"/>
          <w:szCs w:val="28"/>
        </w:rPr>
        <w:t>ния</w:t>
      </w:r>
      <w:r w:rsidRPr="0032455E">
        <w:rPr>
          <w:sz w:val="28"/>
          <w:szCs w:val="28"/>
        </w:rPr>
        <w:t xml:space="preserve"> </w:t>
      </w:r>
      <w:r w:rsidR="0025378E" w:rsidRPr="0032455E">
        <w:rPr>
          <w:sz w:val="28"/>
          <w:szCs w:val="28"/>
        </w:rPr>
        <w:t>об</w:t>
      </w:r>
      <w:r w:rsidRPr="0032455E">
        <w:rPr>
          <w:sz w:val="28"/>
          <w:szCs w:val="28"/>
        </w:rPr>
        <w:t xml:space="preserve"> утверждении Порядка формирования перечня налоговых расходов и оценки налоговых расходов</w:t>
      </w:r>
      <w:r w:rsidR="0025378E" w:rsidRPr="0032455E">
        <w:rPr>
          <w:sz w:val="28"/>
          <w:szCs w:val="28"/>
        </w:rPr>
        <w:t>,</w:t>
      </w:r>
      <w:r w:rsidRPr="0032455E">
        <w:rPr>
          <w:sz w:val="28"/>
          <w:szCs w:val="28"/>
        </w:rPr>
        <w:t xml:space="preserve"> на </w:t>
      </w:r>
      <w:r w:rsidR="0025378E" w:rsidRPr="0032455E">
        <w:rPr>
          <w:sz w:val="28"/>
          <w:szCs w:val="28"/>
        </w:rPr>
        <w:t>основании которых</w:t>
      </w:r>
      <w:r w:rsidRPr="0032455E">
        <w:rPr>
          <w:sz w:val="28"/>
          <w:szCs w:val="28"/>
        </w:rPr>
        <w:t xml:space="preserve"> проводится </w:t>
      </w:r>
      <w:proofErr w:type="gramStart"/>
      <w:r w:rsidR="00137EA4" w:rsidRPr="0032455E">
        <w:rPr>
          <w:sz w:val="28"/>
          <w:szCs w:val="28"/>
        </w:rPr>
        <w:t>работа</w:t>
      </w:r>
      <w:proofErr w:type="gramEnd"/>
      <w:r w:rsidRPr="0032455E">
        <w:rPr>
          <w:sz w:val="28"/>
          <w:szCs w:val="28"/>
        </w:rPr>
        <w:t xml:space="preserve"> по оценке эффективности налоговых расходов </w:t>
      </w:r>
      <w:r w:rsidR="0025378E" w:rsidRPr="0032455E">
        <w:rPr>
          <w:sz w:val="28"/>
          <w:szCs w:val="28"/>
        </w:rPr>
        <w:t xml:space="preserve">муниципальных образований. </w:t>
      </w:r>
      <w:r w:rsidRPr="0032455E">
        <w:rPr>
          <w:sz w:val="28"/>
          <w:szCs w:val="28"/>
        </w:rPr>
        <w:t>Сформирован перечень налоговых расходов, которые закреплены за соответствующими кураторами.</w:t>
      </w:r>
    </w:p>
    <w:p w:rsidR="00AD75A5" w:rsidRPr="008C465C" w:rsidRDefault="00AD75A5" w:rsidP="00AD75A5">
      <w:pPr>
        <w:pStyle w:val="a6"/>
        <w:spacing w:line="288" w:lineRule="auto"/>
        <w:ind w:right="-57" w:firstLine="567"/>
        <w:rPr>
          <w:sz w:val="28"/>
          <w:szCs w:val="28"/>
        </w:rPr>
      </w:pPr>
      <w:r w:rsidRPr="008C465C">
        <w:rPr>
          <w:sz w:val="28"/>
          <w:szCs w:val="28"/>
        </w:rPr>
        <w:t>Принимая во внимание складывающуюся в текущем году ситуацию, характеризующуюся значительным снижением поступлений средств в бюджет Района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524FC1" w:rsidRDefault="00AD75A5" w:rsidP="00AD75A5">
      <w:pPr>
        <w:spacing w:line="288" w:lineRule="auto"/>
        <w:ind w:firstLine="567"/>
        <w:jc w:val="both"/>
        <w:rPr>
          <w:rStyle w:val="a8"/>
          <w:rFonts w:eastAsia="Calibri"/>
          <w:b w:val="0"/>
          <w:sz w:val="28"/>
          <w:szCs w:val="28"/>
          <w:lang w:eastAsia="en-US"/>
        </w:rPr>
      </w:pP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>В целях минимизации рисков несбалансированности бюджет Района на 202</w:t>
      </w:r>
      <w:r w:rsidR="00524FC1">
        <w:rPr>
          <w:rStyle w:val="a8"/>
          <w:rFonts w:eastAsia="Calibri"/>
          <w:b w:val="0"/>
          <w:sz w:val="28"/>
          <w:szCs w:val="28"/>
          <w:lang w:eastAsia="en-US"/>
        </w:rPr>
        <w:t>2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 xml:space="preserve"> – 202</w:t>
      </w:r>
      <w:r w:rsidR="00524FC1">
        <w:rPr>
          <w:rStyle w:val="a8"/>
          <w:rFonts w:eastAsia="Calibri"/>
          <w:b w:val="0"/>
          <w:sz w:val="28"/>
          <w:szCs w:val="28"/>
          <w:lang w:eastAsia="en-US"/>
        </w:rPr>
        <w:t>4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 xml:space="preserve"> годы предлагается традиционно формировать на о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>с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 xml:space="preserve">нове использования сценарных условий </w:t>
      </w:r>
      <w:r w:rsidRPr="008C465C">
        <w:rPr>
          <w:sz w:val="28"/>
          <w:szCs w:val="28"/>
        </w:rPr>
        <w:t>Министерства Финансов Республики Татарстан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 xml:space="preserve"> и основных параметров прогноза социально-экономического развития Елабужского муниципального района на период 202</w:t>
      </w:r>
      <w:r w:rsidR="00524FC1">
        <w:rPr>
          <w:rStyle w:val="a8"/>
          <w:rFonts w:eastAsia="Calibri"/>
          <w:b w:val="0"/>
          <w:sz w:val="28"/>
          <w:szCs w:val="28"/>
          <w:lang w:eastAsia="en-US"/>
        </w:rPr>
        <w:t>2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>-202</w:t>
      </w:r>
      <w:r w:rsidR="00524FC1">
        <w:rPr>
          <w:rStyle w:val="a8"/>
          <w:rFonts w:eastAsia="Calibri"/>
          <w:b w:val="0"/>
          <w:sz w:val="28"/>
          <w:szCs w:val="28"/>
          <w:lang w:eastAsia="en-US"/>
        </w:rPr>
        <w:t>4</w:t>
      </w:r>
      <w:r w:rsidRPr="008C465C">
        <w:rPr>
          <w:rStyle w:val="a8"/>
          <w:rFonts w:eastAsia="Calibri"/>
          <w:b w:val="0"/>
          <w:sz w:val="28"/>
          <w:szCs w:val="28"/>
          <w:lang w:eastAsia="en-US"/>
        </w:rPr>
        <w:t xml:space="preserve"> годов по базовому варианту.</w:t>
      </w:r>
    </w:p>
    <w:p w:rsidR="002F20C4" w:rsidRPr="008C465C" w:rsidRDefault="002F20C4" w:rsidP="002537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C465C">
        <w:rPr>
          <w:sz w:val="28"/>
          <w:szCs w:val="28"/>
        </w:rPr>
        <w:t xml:space="preserve">Для формирования прогноза консолидированного бюджета </w:t>
      </w:r>
      <w:r w:rsidR="00413BF8" w:rsidRPr="008C465C">
        <w:rPr>
          <w:sz w:val="28"/>
          <w:szCs w:val="28"/>
        </w:rPr>
        <w:t>Елабужского муниципального района</w:t>
      </w:r>
      <w:r w:rsidRPr="008C465C">
        <w:rPr>
          <w:sz w:val="28"/>
          <w:szCs w:val="28"/>
        </w:rPr>
        <w:t xml:space="preserve"> на 202</w:t>
      </w:r>
      <w:r w:rsidR="00524FC1">
        <w:rPr>
          <w:sz w:val="28"/>
          <w:szCs w:val="28"/>
        </w:rPr>
        <w:t>2</w:t>
      </w:r>
      <w:r w:rsidRPr="008C465C">
        <w:rPr>
          <w:sz w:val="28"/>
          <w:szCs w:val="28"/>
        </w:rPr>
        <w:t xml:space="preserve"> – 202</w:t>
      </w:r>
      <w:r w:rsidR="00524FC1">
        <w:rPr>
          <w:sz w:val="28"/>
          <w:szCs w:val="28"/>
        </w:rPr>
        <w:t>4</w:t>
      </w:r>
      <w:r w:rsidRPr="008C465C">
        <w:rPr>
          <w:sz w:val="28"/>
          <w:szCs w:val="28"/>
        </w:rPr>
        <w:t xml:space="preserve"> годы предлагается использовать следующие пар</w:t>
      </w:r>
      <w:r w:rsidRPr="008C465C">
        <w:rPr>
          <w:sz w:val="28"/>
          <w:szCs w:val="28"/>
        </w:rPr>
        <w:t>а</w:t>
      </w:r>
      <w:r w:rsidRPr="008C465C">
        <w:rPr>
          <w:sz w:val="28"/>
          <w:szCs w:val="28"/>
        </w:rPr>
        <w:t>метры: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1533"/>
        <w:gridCol w:w="1533"/>
        <w:gridCol w:w="1533"/>
      </w:tblGrid>
      <w:tr w:rsidR="002F20C4" w:rsidRPr="00524FC1" w:rsidTr="00730C1C">
        <w:trPr>
          <w:jc w:val="center"/>
        </w:trPr>
        <w:tc>
          <w:tcPr>
            <w:tcW w:w="4863" w:type="dxa"/>
            <w:shd w:val="clear" w:color="auto" w:fill="auto"/>
          </w:tcPr>
          <w:p w:rsidR="002F20C4" w:rsidRPr="00524FC1" w:rsidRDefault="002F20C4" w:rsidP="00AA2421">
            <w:pPr>
              <w:spacing w:line="288" w:lineRule="auto"/>
              <w:jc w:val="center"/>
              <w:rPr>
                <w:highlight w:val="yellow"/>
              </w:rPr>
            </w:pPr>
            <w:r w:rsidRPr="00BC0A2B">
              <w:t>Наименование</w:t>
            </w:r>
          </w:p>
        </w:tc>
        <w:tc>
          <w:tcPr>
            <w:tcW w:w="1533" w:type="dxa"/>
            <w:shd w:val="clear" w:color="auto" w:fill="auto"/>
          </w:tcPr>
          <w:p w:rsidR="002F20C4" w:rsidRPr="00BC0A2B" w:rsidRDefault="002F20C4" w:rsidP="00BC0A2B">
            <w:pPr>
              <w:spacing w:line="288" w:lineRule="auto"/>
              <w:jc w:val="center"/>
            </w:pPr>
            <w:r w:rsidRPr="00BC0A2B">
              <w:t>202</w:t>
            </w:r>
            <w:r w:rsidR="00BC0A2B" w:rsidRPr="00BC0A2B">
              <w:t>2</w:t>
            </w:r>
            <w:r w:rsidRPr="00BC0A2B">
              <w:t xml:space="preserve"> год</w:t>
            </w:r>
          </w:p>
        </w:tc>
        <w:tc>
          <w:tcPr>
            <w:tcW w:w="1533" w:type="dxa"/>
            <w:shd w:val="clear" w:color="auto" w:fill="auto"/>
          </w:tcPr>
          <w:p w:rsidR="002F20C4" w:rsidRPr="00BC0A2B" w:rsidRDefault="002F20C4" w:rsidP="00BC0A2B">
            <w:pPr>
              <w:spacing w:line="288" w:lineRule="auto"/>
              <w:jc w:val="center"/>
            </w:pPr>
            <w:r w:rsidRPr="00BC0A2B">
              <w:t>202</w:t>
            </w:r>
            <w:r w:rsidR="00BC0A2B" w:rsidRPr="00BC0A2B">
              <w:t>3</w:t>
            </w:r>
            <w:r w:rsidRPr="00BC0A2B">
              <w:t xml:space="preserve"> год</w:t>
            </w:r>
          </w:p>
        </w:tc>
        <w:tc>
          <w:tcPr>
            <w:tcW w:w="1533" w:type="dxa"/>
            <w:shd w:val="clear" w:color="auto" w:fill="auto"/>
          </w:tcPr>
          <w:p w:rsidR="002F20C4" w:rsidRPr="00BC0A2B" w:rsidRDefault="002F20C4" w:rsidP="00BC0A2B">
            <w:pPr>
              <w:spacing w:line="288" w:lineRule="auto"/>
              <w:jc w:val="center"/>
            </w:pPr>
            <w:r w:rsidRPr="00BC0A2B">
              <w:t>202</w:t>
            </w:r>
            <w:r w:rsidR="00BC0A2B" w:rsidRPr="00BC0A2B">
              <w:t>4</w:t>
            </w:r>
            <w:r w:rsidRPr="00BC0A2B">
              <w:t xml:space="preserve"> год</w:t>
            </w:r>
          </w:p>
        </w:tc>
      </w:tr>
      <w:tr w:rsidR="002F20C4" w:rsidRPr="00524FC1" w:rsidTr="00730C1C">
        <w:trPr>
          <w:jc w:val="center"/>
        </w:trPr>
        <w:tc>
          <w:tcPr>
            <w:tcW w:w="4863" w:type="dxa"/>
          </w:tcPr>
          <w:p w:rsidR="002F20C4" w:rsidRPr="0010571E" w:rsidRDefault="002F20C4" w:rsidP="00AA2421">
            <w:pPr>
              <w:spacing w:line="288" w:lineRule="auto"/>
            </w:pPr>
            <w:r w:rsidRPr="0010571E">
              <w:t>Цена на нефть, долларов за баррель</w:t>
            </w:r>
          </w:p>
        </w:tc>
        <w:tc>
          <w:tcPr>
            <w:tcW w:w="1533" w:type="dxa"/>
            <w:vAlign w:val="center"/>
          </w:tcPr>
          <w:p w:rsidR="002F20C4" w:rsidRPr="0010571E" w:rsidRDefault="00BC0A2B" w:rsidP="00AA2421">
            <w:pPr>
              <w:spacing w:line="288" w:lineRule="auto"/>
              <w:jc w:val="center"/>
            </w:pPr>
            <w:r w:rsidRPr="0010571E">
              <w:t>56,2</w:t>
            </w:r>
          </w:p>
        </w:tc>
        <w:tc>
          <w:tcPr>
            <w:tcW w:w="1533" w:type="dxa"/>
            <w:vAlign w:val="center"/>
          </w:tcPr>
          <w:p w:rsidR="002F20C4" w:rsidRPr="0010571E" w:rsidRDefault="0010571E" w:rsidP="00AA2421">
            <w:pPr>
              <w:spacing w:line="288" w:lineRule="auto"/>
              <w:jc w:val="center"/>
            </w:pPr>
            <w:r w:rsidRPr="0010571E">
              <w:t>54,8</w:t>
            </w:r>
          </w:p>
        </w:tc>
        <w:tc>
          <w:tcPr>
            <w:tcW w:w="1533" w:type="dxa"/>
            <w:vAlign w:val="center"/>
          </w:tcPr>
          <w:p w:rsidR="002F20C4" w:rsidRPr="0010571E" w:rsidRDefault="0010571E" w:rsidP="00AA2421">
            <w:pPr>
              <w:spacing w:line="288" w:lineRule="auto"/>
              <w:jc w:val="center"/>
            </w:pPr>
            <w:r w:rsidRPr="0010571E">
              <w:t>54,2</w:t>
            </w:r>
          </w:p>
        </w:tc>
      </w:tr>
      <w:tr w:rsidR="002F20C4" w:rsidRPr="00BC0A2B" w:rsidTr="00730C1C">
        <w:trPr>
          <w:jc w:val="center"/>
        </w:trPr>
        <w:tc>
          <w:tcPr>
            <w:tcW w:w="4863" w:type="dxa"/>
          </w:tcPr>
          <w:p w:rsidR="002F20C4" w:rsidRPr="00BC0A2B" w:rsidRDefault="002F20C4" w:rsidP="00AA2421">
            <w:pPr>
              <w:spacing w:line="288" w:lineRule="auto"/>
            </w:pPr>
            <w:r w:rsidRPr="00BC0A2B">
              <w:t>Курс доллара, рублей</w:t>
            </w:r>
          </w:p>
        </w:tc>
        <w:tc>
          <w:tcPr>
            <w:tcW w:w="1533" w:type="dxa"/>
            <w:vAlign w:val="center"/>
          </w:tcPr>
          <w:p w:rsidR="002F20C4" w:rsidRPr="00BC0A2B" w:rsidRDefault="00BC0A2B" w:rsidP="00AA2421">
            <w:pPr>
              <w:spacing w:line="288" w:lineRule="auto"/>
              <w:jc w:val="center"/>
            </w:pPr>
            <w:r w:rsidRPr="00BC0A2B">
              <w:t>71,8</w:t>
            </w:r>
          </w:p>
        </w:tc>
        <w:tc>
          <w:tcPr>
            <w:tcW w:w="1533" w:type="dxa"/>
            <w:vAlign w:val="center"/>
          </w:tcPr>
          <w:p w:rsidR="002F20C4" w:rsidRPr="00BC0A2B" w:rsidRDefault="00BC0A2B" w:rsidP="00AA2421">
            <w:pPr>
              <w:spacing w:line="288" w:lineRule="auto"/>
              <w:jc w:val="center"/>
            </w:pPr>
            <w:r w:rsidRPr="00BC0A2B">
              <w:t>72,6</w:t>
            </w:r>
          </w:p>
        </w:tc>
        <w:tc>
          <w:tcPr>
            <w:tcW w:w="1533" w:type="dxa"/>
            <w:vAlign w:val="center"/>
          </w:tcPr>
          <w:p w:rsidR="002F20C4" w:rsidRPr="00BC0A2B" w:rsidRDefault="00BC0A2B" w:rsidP="00AA2421">
            <w:pPr>
              <w:spacing w:line="288" w:lineRule="auto"/>
              <w:jc w:val="center"/>
            </w:pPr>
            <w:r w:rsidRPr="00BC0A2B">
              <w:t>73,6</w:t>
            </w:r>
          </w:p>
        </w:tc>
      </w:tr>
      <w:tr w:rsidR="002F20C4" w:rsidRPr="008C465C" w:rsidTr="00730C1C">
        <w:trPr>
          <w:jc w:val="center"/>
        </w:trPr>
        <w:tc>
          <w:tcPr>
            <w:tcW w:w="4863" w:type="dxa"/>
          </w:tcPr>
          <w:p w:rsidR="002F20C4" w:rsidRPr="00BC0A2B" w:rsidRDefault="002F20C4" w:rsidP="00AA2421">
            <w:pPr>
              <w:spacing w:line="288" w:lineRule="auto"/>
            </w:pPr>
            <w:r w:rsidRPr="00BC0A2B">
              <w:t>Инфляция (рост, в %)</w:t>
            </w:r>
          </w:p>
        </w:tc>
        <w:tc>
          <w:tcPr>
            <w:tcW w:w="1533" w:type="dxa"/>
          </w:tcPr>
          <w:p w:rsidR="002F20C4" w:rsidRPr="00BC0A2B" w:rsidRDefault="002F20C4" w:rsidP="00AA2421">
            <w:pPr>
              <w:spacing w:line="288" w:lineRule="auto"/>
              <w:jc w:val="center"/>
            </w:pPr>
            <w:r w:rsidRPr="00BC0A2B">
              <w:t>104,0</w:t>
            </w:r>
          </w:p>
        </w:tc>
        <w:tc>
          <w:tcPr>
            <w:tcW w:w="1533" w:type="dxa"/>
          </w:tcPr>
          <w:p w:rsidR="002F20C4" w:rsidRPr="00BC0A2B" w:rsidRDefault="002F20C4" w:rsidP="00AA2421">
            <w:pPr>
              <w:spacing w:line="288" w:lineRule="auto"/>
              <w:jc w:val="center"/>
            </w:pPr>
            <w:r w:rsidRPr="00BC0A2B">
              <w:t>104,0</w:t>
            </w:r>
          </w:p>
        </w:tc>
        <w:tc>
          <w:tcPr>
            <w:tcW w:w="1533" w:type="dxa"/>
          </w:tcPr>
          <w:p w:rsidR="002F20C4" w:rsidRPr="00BC0A2B" w:rsidRDefault="002F20C4" w:rsidP="00AA2421">
            <w:pPr>
              <w:spacing w:line="288" w:lineRule="auto"/>
              <w:jc w:val="center"/>
            </w:pPr>
            <w:r w:rsidRPr="00BC0A2B">
              <w:t>104,0</w:t>
            </w:r>
          </w:p>
        </w:tc>
      </w:tr>
    </w:tbl>
    <w:p w:rsidR="002F20C4" w:rsidRPr="008C465C" w:rsidRDefault="002F20C4" w:rsidP="002F20C4">
      <w:pPr>
        <w:spacing w:line="288" w:lineRule="auto"/>
        <w:ind w:firstLine="567"/>
        <w:jc w:val="both"/>
        <w:rPr>
          <w:sz w:val="28"/>
          <w:szCs w:val="28"/>
        </w:rPr>
      </w:pPr>
    </w:p>
    <w:p w:rsidR="002F20C4" w:rsidRDefault="002F20C4" w:rsidP="002F20C4">
      <w:pPr>
        <w:spacing w:line="288" w:lineRule="auto"/>
        <w:ind w:firstLine="567"/>
        <w:jc w:val="both"/>
        <w:rPr>
          <w:sz w:val="28"/>
          <w:szCs w:val="28"/>
        </w:rPr>
      </w:pPr>
      <w:r w:rsidRPr="008C465C">
        <w:rPr>
          <w:sz w:val="28"/>
          <w:szCs w:val="28"/>
        </w:rPr>
        <w:t xml:space="preserve">При расчете расходной части консолидированного бюджета </w:t>
      </w:r>
      <w:r w:rsidR="00413BF8" w:rsidRPr="008C465C">
        <w:rPr>
          <w:sz w:val="28"/>
          <w:szCs w:val="28"/>
        </w:rPr>
        <w:t>Елабужского муниципального района</w:t>
      </w:r>
      <w:r w:rsidRPr="008C465C">
        <w:rPr>
          <w:sz w:val="28"/>
          <w:szCs w:val="28"/>
        </w:rPr>
        <w:t xml:space="preserve"> на 202</w:t>
      </w:r>
      <w:r w:rsidR="00524FC1">
        <w:rPr>
          <w:sz w:val="28"/>
          <w:szCs w:val="28"/>
        </w:rPr>
        <w:t>2</w:t>
      </w:r>
      <w:r w:rsidRPr="008C465C">
        <w:rPr>
          <w:sz w:val="28"/>
          <w:szCs w:val="28"/>
        </w:rPr>
        <w:t xml:space="preserve"> – 202</w:t>
      </w:r>
      <w:r w:rsidR="00524FC1">
        <w:rPr>
          <w:sz w:val="28"/>
          <w:szCs w:val="28"/>
        </w:rPr>
        <w:t>4</w:t>
      </w:r>
      <w:r w:rsidRPr="008C465C">
        <w:rPr>
          <w:sz w:val="28"/>
          <w:szCs w:val="28"/>
        </w:rPr>
        <w:t xml:space="preserve"> годы предлагается использовать следующие крит</w:t>
      </w:r>
      <w:r w:rsidRPr="008C465C">
        <w:rPr>
          <w:sz w:val="28"/>
          <w:szCs w:val="28"/>
        </w:rPr>
        <w:t>е</w:t>
      </w:r>
      <w:r w:rsidRPr="008C465C">
        <w:rPr>
          <w:sz w:val="28"/>
          <w:szCs w:val="28"/>
        </w:rPr>
        <w:t>рии:</w:t>
      </w:r>
    </w:p>
    <w:p w:rsidR="00137EA4" w:rsidRDefault="00137EA4" w:rsidP="002F20C4">
      <w:pPr>
        <w:spacing w:line="288" w:lineRule="auto"/>
        <w:ind w:firstLine="567"/>
        <w:jc w:val="both"/>
        <w:rPr>
          <w:sz w:val="28"/>
          <w:szCs w:val="28"/>
        </w:rPr>
      </w:pPr>
    </w:p>
    <w:tbl>
      <w:tblPr>
        <w:tblW w:w="47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4"/>
        <w:gridCol w:w="1562"/>
        <w:gridCol w:w="1611"/>
        <w:gridCol w:w="1615"/>
        <w:gridCol w:w="8"/>
      </w:tblGrid>
      <w:tr w:rsidR="00524FC1" w:rsidRPr="003B6FB5" w:rsidTr="00137EA4">
        <w:trPr>
          <w:gridAfter w:val="1"/>
          <w:wAfter w:w="6" w:type="pct"/>
          <w:tblHeader/>
          <w:jc w:val="center"/>
        </w:trPr>
        <w:tc>
          <w:tcPr>
            <w:tcW w:w="2444" w:type="pct"/>
          </w:tcPr>
          <w:p w:rsidR="00524FC1" w:rsidRPr="003B6FB5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3B6FB5">
              <w:lastRenderedPageBreak/>
              <w:t>Наименование</w:t>
            </w:r>
          </w:p>
        </w:tc>
        <w:tc>
          <w:tcPr>
            <w:tcW w:w="832" w:type="pct"/>
          </w:tcPr>
          <w:p w:rsidR="00524FC1" w:rsidRPr="005B3B27" w:rsidRDefault="00524FC1" w:rsidP="001E7FD9">
            <w:pPr>
              <w:jc w:val="center"/>
              <w:rPr>
                <w:b/>
              </w:rPr>
            </w:pPr>
            <w:r w:rsidRPr="005B3B27">
              <w:rPr>
                <w:b/>
              </w:rPr>
              <w:t>2022 год</w:t>
            </w:r>
          </w:p>
        </w:tc>
        <w:tc>
          <w:tcPr>
            <w:tcW w:w="858" w:type="pct"/>
          </w:tcPr>
          <w:p w:rsidR="00524FC1" w:rsidRPr="005B3B27" w:rsidRDefault="00524FC1" w:rsidP="001E7FD9">
            <w:pPr>
              <w:jc w:val="center"/>
              <w:rPr>
                <w:b/>
              </w:rPr>
            </w:pPr>
            <w:r w:rsidRPr="005B3B27">
              <w:rPr>
                <w:b/>
              </w:rPr>
              <w:t>2023 год</w:t>
            </w:r>
          </w:p>
        </w:tc>
        <w:tc>
          <w:tcPr>
            <w:tcW w:w="860" w:type="pct"/>
          </w:tcPr>
          <w:p w:rsidR="00524FC1" w:rsidRPr="005B3B27" w:rsidRDefault="00524FC1" w:rsidP="001E7FD9">
            <w:pPr>
              <w:jc w:val="center"/>
              <w:rPr>
                <w:b/>
              </w:rPr>
            </w:pPr>
            <w:r w:rsidRPr="005B3B27">
              <w:rPr>
                <w:b/>
              </w:rPr>
              <w:t>2024 год</w:t>
            </w:r>
          </w:p>
        </w:tc>
      </w:tr>
      <w:tr w:rsidR="00524FC1" w:rsidRPr="003B6FB5" w:rsidTr="00137EA4">
        <w:trPr>
          <w:gridAfter w:val="1"/>
          <w:wAfter w:w="6" w:type="pct"/>
          <w:jc w:val="center"/>
        </w:trPr>
        <w:tc>
          <w:tcPr>
            <w:tcW w:w="2444" w:type="pct"/>
          </w:tcPr>
          <w:p w:rsidR="00524FC1" w:rsidRPr="00DC0839" w:rsidRDefault="00524FC1" w:rsidP="001E7FD9">
            <w:pPr>
              <w:jc w:val="both"/>
            </w:pPr>
            <w:r w:rsidRPr="00DC0839">
              <w:t>Инфляция, (рост %)</w:t>
            </w:r>
          </w:p>
        </w:tc>
        <w:tc>
          <w:tcPr>
            <w:tcW w:w="832" w:type="pct"/>
          </w:tcPr>
          <w:p w:rsidR="00524FC1" w:rsidRPr="003F7B8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3F7B8C">
              <w:t>104,0</w:t>
            </w:r>
          </w:p>
        </w:tc>
        <w:tc>
          <w:tcPr>
            <w:tcW w:w="858" w:type="pct"/>
          </w:tcPr>
          <w:p w:rsidR="00524FC1" w:rsidRPr="003F7B8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3F7B8C">
              <w:t>104,0</w:t>
            </w:r>
          </w:p>
        </w:tc>
        <w:tc>
          <w:tcPr>
            <w:tcW w:w="860" w:type="pct"/>
          </w:tcPr>
          <w:p w:rsidR="00524FC1" w:rsidRPr="003F7B8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3F7B8C">
              <w:t>104,0</w:t>
            </w:r>
          </w:p>
        </w:tc>
      </w:tr>
      <w:tr w:rsidR="00524FC1" w:rsidRPr="003B6FB5" w:rsidTr="00137EA4">
        <w:trPr>
          <w:jc w:val="center"/>
        </w:trPr>
        <w:tc>
          <w:tcPr>
            <w:tcW w:w="2446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both"/>
              <w:rPr>
                <w:i/>
              </w:rPr>
            </w:pPr>
            <w:r w:rsidRPr="00E014E5">
              <w:t>Заработная плата работников государственных и муниципальных бюджетных  и автономных учреждений</w:t>
            </w:r>
          </w:p>
        </w:tc>
        <w:tc>
          <w:tcPr>
            <w:tcW w:w="2554" w:type="pct"/>
            <w:gridSpan w:val="4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>
              <w:t>д</w:t>
            </w:r>
            <w:r w:rsidRPr="00E014E5">
              <w:t xml:space="preserve">оведение до МРОТ с 1 января – ежегодно </w:t>
            </w:r>
          </w:p>
        </w:tc>
      </w:tr>
      <w:tr w:rsidR="00524FC1" w:rsidRPr="003B6FB5" w:rsidTr="00137EA4">
        <w:trPr>
          <w:jc w:val="center"/>
        </w:trPr>
        <w:tc>
          <w:tcPr>
            <w:tcW w:w="2446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both"/>
            </w:pPr>
            <w:r w:rsidRPr="00E014E5">
              <w:t>Заработная плата отдельных категорий рабо</w:t>
            </w:r>
            <w:r w:rsidRPr="00E014E5">
              <w:t>т</w:t>
            </w:r>
            <w:r w:rsidRPr="00E014E5">
              <w:t>ников бюджетной сферы (обозначенных в Ук</w:t>
            </w:r>
            <w:r w:rsidRPr="00E014E5">
              <w:t>а</w:t>
            </w:r>
            <w:r w:rsidRPr="00E014E5">
              <w:t>зах Президента РФ от 07.05.2012г. №597, от 01.06.2012г. №761, от 28.12.2012г. №1688)</w:t>
            </w:r>
          </w:p>
        </w:tc>
        <w:tc>
          <w:tcPr>
            <w:tcW w:w="2554" w:type="pct"/>
            <w:gridSpan w:val="4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>
              <w:t xml:space="preserve">в соответствии с </w:t>
            </w:r>
            <w:r w:rsidRPr="00E014E5">
              <w:t>Указа</w:t>
            </w:r>
            <w:r>
              <w:t>ми</w:t>
            </w:r>
            <w:r w:rsidRPr="00E014E5">
              <w:t xml:space="preserve"> Президента РФ от 07.05.2012</w:t>
            </w:r>
            <w:r>
              <w:t xml:space="preserve"> </w:t>
            </w:r>
            <w:r w:rsidRPr="00E014E5">
              <w:t>г. №597, от 01.06.2012</w:t>
            </w:r>
            <w:r>
              <w:t xml:space="preserve"> </w:t>
            </w:r>
            <w:r w:rsidRPr="00E014E5">
              <w:t>г. №761, от 28.12.2012</w:t>
            </w:r>
            <w:r>
              <w:t xml:space="preserve"> </w:t>
            </w:r>
            <w:r w:rsidRPr="00E014E5">
              <w:t>г. №1688</w:t>
            </w:r>
          </w:p>
        </w:tc>
      </w:tr>
      <w:tr w:rsidR="00524FC1" w:rsidRPr="003B6FB5" w:rsidTr="00137EA4">
        <w:trPr>
          <w:jc w:val="center"/>
        </w:trPr>
        <w:tc>
          <w:tcPr>
            <w:tcW w:w="2446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rPr>
                <w:i/>
              </w:rPr>
            </w:pPr>
            <w:r w:rsidRPr="00E014E5">
              <w:t>Заработная плата в органах государственного и муниципального управления</w:t>
            </w:r>
          </w:p>
        </w:tc>
        <w:tc>
          <w:tcPr>
            <w:tcW w:w="2554" w:type="pct"/>
            <w:gridSpan w:val="4"/>
            <w:vAlign w:val="center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уровне 202</w:t>
            </w:r>
            <w:r>
              <w:t>1</w:t>
            </w:r>
            <w:r w:rsidRPr="00995A7C">
              <w:t xml:space="preserve"> г.</w:t>
            </w:r>
          </w:p>
        </w:tc>
      </w:tr>
      <w:tr w:rsidR="00524FC1" w:rsidRPr="003B6FB5" w:rsidTr="00137EA4">
        <w:trPr>
          <w:gridAfter w:val="1"/>
          <w:wAfter w:w="6" w:type="pct"/>
          <w:jc w:val="center"/>
        </w:trPr>
        <w:tc>
          <w:tcPr>
            <w:tcW w:w="2444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both"/>
            </w:pPr>
            <w:r w:rsidRPr="00E014E5">
              <w:t>Публичные обязательства (денежные выплаты населению)</w:t>
            </w:r>
          </w:p>
        </w:tc>
        <w:tc>
          <w:tcPr>
            <w:tcW w:w="832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01.01.202</w:t>
            </w:r>
            <w:r>
              <w:t>2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58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01.01.202</w:t>
            </w:r>
            <w:r>
              <w:t>3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60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01.01.202</w:t>
            </w:r>
            <w:r>
              <w:t>4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</w:tr>
      <w:tr w:rsidR="00524FC1" w:rsidRPr="003B6FB5" w:rsidTr="00137EA4">
        <w:trPr>
          <w:gridAfter w:val="1"/>
          <w:wAfter w:w="6" w:type="pct"/>
          <w:jc w:val="center"/>
        </w:trPr>
        <w:tc>
          <w:tcPr>
            <w:tcW w:w="2444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both"/>
            </w:pPr>
            <w:r w:rsidRPr="00E014E5">
              <w:t>Стипендии</w:t>
            </w:r>
          </w:p>
        </w:tc>
        <w:tc>
          <w:tcPr>
            <w:tcW w:w="832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01.09.202</w:t>
            </w:r>
            <w:r>
              <w:t>2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58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01.09.202</w:t>
            </w:r>
            <w:r>
              <w:t>3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60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01.09.202</w:t>
            </w:r>
            <w:r>
              <w:t>4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</w:tr>
      <w:tr w:rsidR="00524FC1" w:rsidRPr="003B6FB5" w:rsidTr="00137EA4">
        <w:trPr>
          <w:gridAfter w:val="1"/>
          <w:wAfter w:w="6" w:type="pct"/>
          <w:jc w:val="center"/>
        </w:trPr>
        <w:tc>
          <w:tcPr>
            <w:tcW w:w="2444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both"/>
            </w:pPr>
            <w:r w:rsidRPr="00E014E5">
              <w:t>Продукты питания, медикаменты</w:t>
            </w:r>
          </w:p>
        </w:tc>
        <w:tc>
          <w:tcPr>
            <w:tcW w:w="832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01.01.202</w:t>
            </w:r>
            <w:r>
              <w:t>2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58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01.01.202</w:t>
            </w:r>
            <w:r>
              <w:t>3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60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01.01.202</w:t>
            </w:r>
            <w:r>
              <w:t>4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</w:tr>
      <w:tr w:rsidR="00524FC1" w:rsidRPr="003B6FB5" w:rsidTr="00137EA4">
        <w:trPr>
          <w:gridAfter w:val="1"/>
          <w:wAfter w:w="6" w:type="pct"/>
          <w:jc w:val="center"/>
        </w:trPr>
        <w:tc>
          <w:tcPr>
            <w:tcW w:w="2444" w:type="pct"/>
            <w:vAlign w:val="center"/>
          </w:tcPr>
          <w:p w:rsidR="00524FC1" w:rsidRPr="00E014E5" w:rsidRDefault="00524FC1" w:rsidP="001E7FD9">
            <w:pPr>
              <w:tabs>
                <w:tab w:val="center" w:pos="4536"/>
                <w:tab w:val="right" w:pos="9072"/>
              </w:tabs>
              <w:jc w:val="both"/>
            </w:pPr>
            <w:r w:rsidRPr="00E014E5">
              <w:t>Коммунальные услуги</w:t>
            </w:r>
          </w:p>
        </w:tc>
        <w:tc>
          <w:tcPr>
            <w:tcW w:w="832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01.07.202</w:t>
            </w:r>
            <w:r>
              <w:t>2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58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01.07.202</w:t>
            </w:r>
            <w:r>
              <w:t>3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  <w:tc>
          <w:tcPr>
            <w:tcW w:w="860" w:type="pct"/>
          </w:tcPr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повышение с 01.07.202</w:t>
            </w:r>
            <w:r>
              <w:t>4</w:t>
            </w:r>
            <w:r w:rsidRPr="00995A7C">
              <w:t xml:space="preserve"> г. </w:t>
            </w:r>
          </w:p>
          <w:p w:rsidR="00524FC1" w:rsidRPr="00995A7C" w:rsidRDefault="00524FC1" w:rsidP="001E7FD9">
            <w:pPr>
              <w:tabs>
                <w:tab w:val="center" w:pos="4536"/>
                <w:tab w:val="right" w:pos="9072"/>
              </w:tabs>
              <w:jc w:val="center"/>
            </w:pPr>
            <w:r w:rsidRPr="00995A7C">
              <w:t>на 4,0 %</w:t>
            </w:r>
          </w:p>
        </w:tc>
      </w:tr>
      <w:tr w:rsidR="00524FC1" w:rsidRPr="003B6FB5" w:rsidTr="00137EA4">
        <w:trPr>
          <w:gridAfter w:val="1"/>
          <w:wAfter w:w="6" w:type="pct"/>
          <w:jc w:val="center"/>
        </w:trPr>
        <w:tc>
          <w:tcPr>
            <w:tcW w:w="2444" w:type="pct"/>
            <w:vAlign w:val="center"/>
          </w:tcPr>
          <w:p w:rsidR="00524FC1" w:rsidRPr="002B17C5" w:rsidRDefault="00524FC1" w:rsidP="001E7FD9">
            <w:pPr>
              <w:tabs>
                <w:tab w:val="left" w:pos="0"/>
              </w:tabs>
              <w:jc w:val="both"/>
            </w:pPr>
            <w:r w:rsidRPr="002B17C5">
              <w:t>Остальные расходы</w:t>
            </w:r>
          </w:p>
        </w:tc>
        <w:tc>
          <w:tcPr>
            <w:tcW w:w="832" w:type="pct"/>
          </w:tcPr>
          <w:p w:rsidR="00524FC1" w:rsidRPr="002B17C5" w:rsidRDefault="00524FC1" w:rsidP="001E7FD9">
            <w:pPr>
              <w:tabs>
                <w:tab w:val="left" w:pos="0"/>
              </w:tabs>
              <w:jc w:val="center"/>
            </w:pPr>
            <w:r w:rsidRPr="002B17C5">
              <w:t>на уровне базового 20</w:t>
            </w:r>
            <w:r>
              <w:t>21</w:t>
            </w:r>
            <w:r w:rsidRPr="002B17C5">
              <w:t xml:space="preserve"> г.</w:t>
            </w:r>
          </w:p>
        </w:tc>
        <w:tc>
          <w:tcPr>
            <w:tcW w:w="858" w:type="pct"/>
          </w:tcPr>
          <w:p w:rsidR="00524FC1" w:rsidRPr="002B17C5" w:rsidRDefault="00524FC1" w:rsidP="001E7FD9">
            <w:pPr>
              <w:tabs>
                <w:tab w:val="left" w:pos="0"/>
              </w:tabs>
              <w:jc w:val="center"/>
            </w:pPr>
            <w:r w:rsidRPr="002B17C5">
              <w:t>на уровне базового 20</w:t>
            </w:r>
            <w:r>
              <w:t xml:space="preserve">22 </w:t>
            </w:r>
            <w:r w:rsidRPr="002B17C5">
              <w:t>г.</w:t>
            </w:r>
          </w:p>
        </w:tc>
        <w:tc>
          <w:tcPr>
            <w:tcW w:w="860" w:type="pct"/>
          </w:tcPr>
          <w:p w:rsidR="00524FC1" w:rsidRPr="002B17C5" w:rsidRDefault="00524FC1" w:rsidP="001E7FD9">
            <w:pPr>
              <w:tabs>
                <w:tab w:val="left" w:pos="0"/>
              </w:tabs>
              <w:jc w:val="center"/>
            </w:pPr>
            <w:r w:rsidRPr="002B17C5">
              <w:t>на уровне базового 20</w:t>
            </w:r>
            <w:r>
              <w:t>23</w:t>
            </w:r>
            <w:r w:rsidRPr="002B17C5">
              <w:t xml:space="preserve"> г.</w:t>
            </w:r>
          </w:p>
        </w:tc>
      </w:tr>
    </w:tbl>
    <w:p w:rsidR="00137EA4" w:rsidRDefault="00137EA4" w:rsidP="002F20C4">
      <w:pPr>
        <w:pStyle w:val="a6"/>
        <w:spacing w:line="288" w:lineRule="auto"/>
        <w:ind w:right="-57" w:firstLine="567"/>
        <w:rPr>
          <w:sz w:val="28"/>
          <w:szCs w:val="28"/>
        </w:rPr>
      </w:pPr>
    </w:p>
    <w:p w:rsidR="002F20C4" w:rsidRDefault="002F20C4" w:rsidP="002F20C4">
      <w:pPr>
        <w:pStyle w:val="a6"/>
        <w:spacing w:line="288" w:lineRule="auto"/>
        <w:ind w:right="-57" w:firstLine="567"/>
        <w:rPr>
          <w:sz w:val="28"/>
          <w:szCs w:val="28"/>
        </w:rPr>
      </w:pPr>
      <w:r w:rsidRPr="008C465C">
        <w:rPr>
          <w:sz w:val="28"/>
          <w:szCs w:val="28"/>
        </w:rPr>
        <w:t>В предстоящий тре</w:t>
      </w:r>
      <w:r w:rsidRPr="004C186D">
        <w:rPr>
          <w:sz w:val="28"/>
          <w:szCs w:val="28"/>
        </w:rPr>
        <w:t>хлетний период основным приоритетом при планир</w:t>
      </w:r>
      <w:r w:rsidRPr="004C186D">
        <w:rPr>
          <w:sz w:val="28"/>
          <w:szCs w:val="28"/>
        </w:rPr>
        <w:t>о</w:t>
      </w:r>
      <w:r w:rsidRPr="004C186D">
        <w:rPr>
          <w:sz w:val="28"/>
          <w:szCs w:val="28"/>
        </w:rPr>
        <w:t>вании бюджетных расходов является ориентирование на достижение наци</w:t>
      </w:r>
      <w:r w:rsidRPr="004C186D">
        <w:rPr>
          <w:sz w:val="28"/>
          <w:szCs w:val="28"/>
        </w:rPr>
        <w:t>о</w:t>
      </w:r>
      <w:r w:rsidRPr="004C186D">
        <w:rPr>
          <w:sz w:val="28"/>
          <w:szCs w:val="28"/>
        </w:rPr>
        <w:t>нальных целей развития, установленных Указом Президента Российской Ф</w:t>
      </w:r>
      <w:r w:rsidRPr="004C186D">
        <w:rPr>
          <w:sz w:val="28"/>
          <w:szCs w:val="28"/>
        </w:rPr>
        <w:t>е</w:t>
      </w:r>
      <w:r w:rsidRPr="004C186D">
        <w:rPr>
          <w:sz w:val="28"/>
          <w:szCs w:val="28"/>
        </w:rPr>
        <w:t>дерации от 21 июля 2020 года № 474 «О национальных целях развития Ро</w:t>
      </w:r>
      <w:r w:rsidRPr="004C186D">
        <w:rPr>
          <w:sz w:val="28"/>
          <w:szCs w:val="28"/>
        </w:rPr>
        <w:t>с</w:t>
      </w:r>
      <w:r w:rsidRPr="004C186D">
        <w:rPr>
          <w:sz w:val="28"/>
          <w:szCs w:val="28"/>
        </w:rPr>
        <w:t>сийской Федерации на период до 2030 года», что будет обеспечиваться путем реализации региональных проектов в рамках национальных (федеральных) проектов с достижением установленных индикаторов оценки эффективности их реализации.</w:t>
      </w:r>
    </w:p>
    <w:p w:rsidR="0010571E" w:rsidRPr="0010571E" w:rsidRDefault="0010571E" w:rsidP="0010571E">
      <w:pPr>
        <w:pStyle w:val="a6"/>
        <w:spacing w:line="288" w:lineRule="auto"/>
        <w:ind w:firstLine="709"/>
        <w:rPr>
          <w:b/>
          <w:sz w:val="28"/>
          <w:szCs w:val="28"/>
        </w:rPr>
      </w:pPr>
      <w:r w:rsidRPr="0010571E">
        <w:rPr>
          <w:rStyle w:val="a8"/>
          <w:rFonts w:eastAsia="Calibri"/>
          <w:b w:val="0"/>
          <w:sz w:val="28"/>
          <w:szCs w:val="28"/>
          <w:lang w:eastAsia="en-US"/>
        </w:rPr>
        <w:t>По-прежнему будет необходимо решать задачи по обеспечению определенного уровня заработной платы работников бюджетной сферы. В частности, необходимо ежегодно обеспечивать достижение целевых показателей соотношения заработной платы данных работников со средней заработной платой по экономике, установленных Указом Президента Российской Федерации от 7 мая 2012 года № 597 «О мероприятиях по реализации государственной социальной политики». Одновременно необходимо обеспечить своевременное и в полном объеме увеличение заработной платы работникам бюджетной сферы в меру повышения минимального размера оплаты труда.</w:t>
      </w:r>
    </w:p>
    <w:p w:rsidR="0010571E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lastRenderedPageBreak/>
        <w:t xml:space="preserve">Безусловным принципом и приоритетом при планировании бюджетных расходов остается обеспечение исполнения всех ранее принятых социальных обязательств </w:t>
      </w:r>
      <w:r>
        <w:rPr>
          <w:sz w:val="28"/>
          <w:szCs w:val="28"/>
        </w:rPr>
        <w:t>района</w:t>
      </w:r>
      <w:r w:rsidRPr="004C69C0">
        <w:rPr>
          <w:sz w:val="28"/>
          <w:szCs w:val="28"/>
        </w:rPr>
        <w:t xml:space="preserve">. Сохраняется необходимость решения вопросов, связанных с проводимой политикой </w:t>
      </w:r>
      <w:r>
        <w:rPr>
          <w:sz w:val="28"/>
          <w:szCs w:val="28"/>
        </w:rPr>
        <w:t>района</w:t>
      </w:r>
      <w:r w:rsidRPr="004C69C0">
        <w:rPr>
          <w:sz w:val="28"/>
          <w:szCs w:val="28"/>
        </w:rPr>
        <w:t xml:space="preserve"> в социально-культурной сфере</w:t>
      </w:r>
      <w:r>
        <w:rPr>
          <w:sz w:val="28"/>
          <w:szCs w:val="28"/>
        </w:rPr>
        <w:t>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730C1C">
        <w:rPr>
          <w:sz w:val="28"/>
          <w:szCs w:val="28"/>
        </w:rPr>
        <w:t>Одним из важнейших условий обеспечения сбалансированности и устойчивости бюджетов всех уровней и одним из направлений бюджетной политики района продолжит</w:t>
      </w:r>
      <w:r w:rsidRPr="004C69C0">
        <w:rPr>
          <w:sz w:val="28"/>
          <w:szCs w:val="28"/>
        </w:rPr>
        <w:t xml:space="preserve"> оставаться безусловное соблюдение подхода, в соответствии с которым не допускается принятие решений, приводящих к увеличению расходных обязательств при отсутствии объективной возможности обеспечения их финансирования. В рамках формирования проекта бюджета </w:t>
      </w:r>
      <w:r w:rsidR="00730C1C">
        <w:rPr>
          <w:sz w:val="28"/>
          <w:szCs w:val="28"/>
        </w:rPr>
        <w:t>района</w:t>
      </w:r>
      <w:r w:rsidRPr="004C69C0">
        <w:rPr>
          <w:sz w:val="28"/>
          <w:szCs w:val="28"/>
        </w:rPr>
        <w:t xml:space="preserve"> 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В предстоящий трехлетний период продолжит оставаться актуальным рассмотрение вопросов, связанных с обеспечением эффективности бюджетных расходов, и реализация подходов, направленных на поиск резервов в процессе формирования и исполнения расходной части бюджета. Данная работа будет являться одним из условий для максимально полного обеспечения тех расходов, которые были признаны необходимыми и целесообразными, а также для поддержания оптимального соотношения текущих расходов и расходов капитального характера.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Система формирования бюджета на основе </w:t>
      </w:r>
      <w:r w:rsidR="00730C1C">
        <w:rPr>
          <w:sz w:val="28"/>
          <w:szCs w:val="28"/>
        </w:rPr>
        <w:t>муниципальных</w:t>
      </w:r>
      <w:r w:rsidRPr="004C69C0">
        <w:rPr>
          <w:sz w:val="28"/>
          <w:szCs w:val="28"/>
        </w:rPr>
        <w:t xml:space="preserve"> программ с учетом контроля эффективности их реализации будет способствовать достижению стратегических целей развития </w:t>
      </w:r>
      <w:r w:rsidR="00730C1C">
        <w:rPr>
          <w:sz w:val="28"/>
          <w:szCs w:val="28"/>
        </w:rPr>
        <w:t>района</w:t>
      </w:r>
      <w:r w:rsidRPr="004C69C0">
        <w:rPr>
          <w:sz w:val="28"/>
          <w:szCs w:val="28"/>
        </w:rPr>
        <w:t xml:space="preserve"> и целей деятельности </w:t>
      </w:r>
      <w:r w:rsidR="00730C1C">
        <w:rPr>
          <w:sz w:val="28"/>
          <w:szCs w:val="28"/>
        </w:rPr>
        <w:t>Исполнительного комитета Елабужского муниципального района.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Также сохраняет актуальность работа по обеспечению открытости и прозрачности бюджетов всех уровней и финансовой деятельности публично-правовых образований. Будет продолжено формирование «Бюджета для граждан», в котором информация о состоянии общественных финансов в республике представлена в доступной для граждан форме.</w:t>
      </w:r>
    </w:p>
    <w:p w:rsidR="0010571E" w:rsidRPr="004C69C0" w:rsidRDefault="0010571E" w:rsidP="0010571E">
      <w:pPr>
        <w:spacing w:line="288" w:lineRule="auto"/>
        <w:ind w:firstLine="709"/>
        <w:jc w:val="both"/>
        <w:rPr>
          <w:sz w:val="28"/>
          <w:szCs w:val="28"/>
        </w:rPr>
      </w:pPr>
      <w:r w:rsidRPr="007D2B87">
        <w:rPr>
          <w:sz w:val="28"/>
          <w:szCs w:val="28"/>
        </w:rPr>
        <w:t xml:space="preserve">Одним из важных направлений в области управления муниципальными финансами является проводимая в данной сфере цифровая трансформация. В рамках этого определен набор решений, представляющих единый правовой, методологический, управленческий и технологический механизм работы с информацией. Выстраивание процессов цифровой трансформации муниципальных финансов требует создания механизма взаимодействия как информационных систем на региональном уровне друг с другом, так и с </w:t>
      </w:r>
      <w:r w:rsidRPr="007D2B87">
        <w:rPr>
          <w:sz w:val="28"/>
          <w:szCs w:val="28"/>
        </w:rPr>
        <w:lastRenderedPageBreak/>
        <w:t>федеральными информационными системами. Такая реализация сквозного процесса бухгалтерского учета и связанного с ним процесса исполнения расходов учреждений, в том числе для учреждений, осуществляющих бухгалтерский учет по централизованной модели, будет осуществляться путем создания системы электронного документооборота первичными документами между участниками бухгалтерского учета, реализации бесшовной интеграции информационных систем бухгалтерск</w:t>
      </w:r>
      <w:r w:rsidR="007D2B87" w:rsidRPr="007D2B87">
        <w:rPr>
          <w:sz w:val="28"/>
          <w:szCs w:val="28"/>
        </w:rPr>
        <w:t>ого учета и исполнения бюджета района</w:t>
      </w:r>
      <w:r w:rsidRPr="007D2B87">
        <w:rPr>
          <w:sz w:val="28"/>
          <w:szCs w:val="28"/>
        </w:rPr>
        <w:t>, создания связанной с бухгалтерским учетом системы администрирования доходов бюджет</w:t>
      </w:r>
      <w:r w:rsidR="007D2B87" w:rsidRPr="007D2B87">
        <w:rPr>
          <w:sz w:val="28"/>
          <w:szCs w:val="28"/>
        </w:rPr>
        <w:t>а района</w:t>
      </w:r>
      <w:r w:rsidRPr="007D2B87">
        <w:rPr>
          <w:sz w:val="28"/>
          <w:szCs w:val="28"/>
        </w:rPr>
        <w:t xml:space="preserve">, ее интеграции с </w:t>
      </w:r>
      <w:r w:rsidR="007D2B87" w:rsidRPr="007D2B87">
        <w:rPr>
          <w:sz w:val="28"/>
          <w:szCs w:val="28"/>
        </w:rPr>
        <w:t>муниципальной</w:t>
      </w:r>
      <w:r w:rsidRPr="007D2B87">
        <w:rPr>
          <w:sz w:val="28"/>
          <w:szCs w:val="28"/>
        </w:rPr>
        <w:t xml:space="preserve"> информационной системой о </w:t>
      </w:r>
      <w:r w:rsidR="007D2B87" w:rsidRPr="007D2B87">
        <w:rPr>
          <w:sz w:val="28"/>
          <w:szCs w:val="28"/>
        </w:rPr>
        <w:t>муниципальных</w:t>
      </w:r>
      <w:r w:rsidRPr="007D2B87">
        <w:rPr>
          <w:sz w:val="28"/>
          <w:szCs w:val="28"/>
        </w:rPr>
        <w:t xml:space="preserve"> платежах, интеграции системы бухгалтерского учета с единой информационной системой в сфере закупок, интеграции системы начисления выплат физическим лицам с </w:t>
      </w:r>
      <w:r w:rsidR="007D2B87" w:rsidRPr="007D2B87">
        <w:rPr>
          <w:sz w:val="28"/>
          <w:szCs w:val="28"/>
        </w:rPr>
        <w:t>муниципальной</w:t>
      </w:r>
      <w:r w:rsidRPr="007D2B87">
        <w:rPr>
          <w:sz w:val="28"/>
          <w:szCs w:val="28"/>
        </w:rPr>
        <w:t xml:space="preserve"> информационной системой </w:t>
      </w:r>
      <w:r w:rsidR="007D2B87" w:rsidRPr="007D2B87">
        <w:rPr>
          <w:sz w:val="28"/>
          <w:szCs w:val="28"/>
        </w:rPr>
        <w:t>муниципальной</w:t>
      </w:r>
      <w:r w:rsidRPr="007D2B87">
        <w:rPr>
          <w:sz w:val="28"/>
          <w:szCs w:val="28"/>
        </w:rPr>
        <w:t xml:space="preserve"> службы </w:t>
      </w:r>
      <w:r w:rsidR="007D2B87" w:rsidRPr="007D2B87">
        <w:rPr>
          <w:sz w:val="28"/>
          <w:szCs w:val="28"/>
        </w:rPr>
        <w:t>района</w:t>
      </w:r>
      <w:r w:rsidRPr="007D2B87">
        <w:rPr>
          <w:sz w:val="28"/>
          <w:szCs w:val="28"/>
        </w:rPr>
        <w:t>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В сфере межбюджетных отношений с местными бюджетами одной из основных задач, стоящей перед </w:t>
      </w:r>
      <w:r w:rsidR="007036F9">
        <w:rPr>
          <w:sz w:val="28"/>
          <w:szCs w:val="28"/>
        </w:rPr>
        <w:t>Исполнительным комитетом Елабужского муниципального района</w:t>
      </w:r>
      <w:r w:rsidRPr="004C69C0">
        <w:rPr>
          <w:sz w:val="28"/>
          <w:szCs w:val="28"/>
        </w:rPr>
        <w:t>, будет оставаться приоритетным подход, в соответствии с которым обеспечиваются условия для максимальной сбалансированности местных бюджетов всех уровней с полным обеспечением расходных полномочий, прежде всего по первоочередным и социально значимым направлениям, доходными источниками, а также реализация мероприятий по выявлению резервов увеличения доходной базы местных бюджетов.</w:t>
      </w:r>
    </w:p>
    <w:p w:rsidR="007D2B87" w:rsidRDefault="007D2B87" w:rsidP="007D2B87">
      <w:pPr>
        <w:pStyle w:val="a6"/>
        <w:spacing w:line="288" w:lineRule="auto"/>
        <w:ind w:right="-57" w:firstLine="567"/>
        <w:rPr>
          <w:sz w:val="28"/>
          <w:szCs w:val="28"/>
        </w:rPr>
      </w:pPr>
      <w:r w:rsidRPr="004C186D">
        <w:rPr>
          <w:sz w:val="28"/>
          <w:szCs w:val="28"/>
        </w:rPr>
        <w:t>В соответствии с нормами бюджетного законодательства,</w:t>
      </w:r>
      <w:r>
        <w:rPr>
          <w:sz w:val="28"/>
          <w:szCs w:val="28"/>
        </w:rPr>
        <w:t xml:space="preserve"> вступившими в силу с 2020 года, остается обязательным заключение соглашения между Министерством Финансов Республики Татарстан и Елабужским муниципальным районом, получающим дотации на выравнивание бюджетной обеспеченности. В данном соглашении будут </w:t>
      </w:r>
      <w:r w:rsidRPr="00B70B6F">
        <w:rPr>
          <w:sz w:val="28"/>
          <w:szCs w:val="28"/>
        </w:rPr>
        <w:t>предусматриваться меры по социально-экономическому развитию и озд</w:t>
      </w:r>
      <w:r w:rsidRPr="00B70B6F">
        <w:rPr>
          <w:sz w:val="28"/>
          <w:szCs w:val="28"/>
        </w:rPr>
        <w:t>о</w:t>
      </w:r>
      <w:r w:rsidRPr="00B70B6F">
        <w:rPr>
          <w:sz w:val="28"/>
          <w:szCs w:val="28"/>
        </w:rPr>
        <w:t>ровлению муниципальных финансов района</w:t>
      </w:r>
      <w:r>
        <w:rPr>
          <w:sz w:val="28"/>
          <w:szCs w:val="28"/>
        </w:rPr>
        <w:t>.</w:t>
      </w:r>
    </w:p>
    <w:p w:rsidR="007D2B87" w:rsidRDefault="007D2B87" w:rsidP="007D2B8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финансовым органом остается право </w:t>
      </w:r>
      <w:r w:rsidRPr="00A3726C">
        <w:rPr>
          <w:sz w:val="28"/>
          <w:szCs w:val="28"/>
        </w:rPr>
        <w:t>при предоставлении из бюджета района дотаций на выравнивание бюджетной обеспеченности поселений заключать с главами местных администраций муниципальных образований, получающих указанные дотации</w:t>
      </w:r>
      <w:r>
        <w:rPr>
          <w:sz w:val="28"/>
          <w:szCs w:val="28"/>
        </w:rPr>
        <w:t>,</w:t>
      </w:r>
      <w:r w:rsidRPr="00A3726C">
        <w:rPr>
          <w:sz w:val="28"/>
          <w:szCs w:val="28"/>
        </w:rPr>
        <w:t xml:space="preserve"> соглашения, которыми предусматриваются меры по социально-экономическому развитию и оздоровлению муниципальных финансов поселений. Порядок, сроки заключения соглашений и требования к соглашениям, устанавливаются </w:t>
      </w:r>
      <w:r>
        <w:rPr>
          <w:sz w:val="28"/>
          <w:szCs w:val="28"/>
        </w:rPr>
        <w:t xml:space="preserve">Исполнительным комитетом Елабужского </w:t>
      </w:r>
      <w:r w:rsidRPr="00A3726C">
        <w:rPr>
          <w:sz w:val="28"/>
          <w:szCs w:val="28"/>
        </w:rPr>
        <w:t>муниципального района.</w:t>
      </w:r>
      <w:r>
        <w:rPr>
          <w:sz w:val="28"/>
          <w:szCs w:val="28"/>
        </w:rPr>
        <w:t xml:space="preserve"> </w:t>
      </w:r>
      <w:r w:rsidRPr="00D71CE0">
        <w:rPr>
          <w:sz w:val="28"/>
          <w:szCs w:val="28"/>
        </w:rPr>
        <w:t>Указанные меры направлены на создание условий для макс</w:t>
      </w:r>
      <w:r w:rsidRPr="00D71CE0">
        <w:rPr>
          <w:sz w:val="28"/>
          <w:szCs w:val="28"/>
        </w:rPr>
        <w:t>и</w:t>
      </w:r>
      <w:r w:rsidRPr="00D71CE0">
        <w:rPr>
          <w:sz w:val="28"/>
          <w:szCs w:val="28"/>
        </w:rPr>
        <w:t>мальной сбалансированности местных бюджетов.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В области </w:t>
      </w:r>
      <w:r w:rsidR="007D2B87">
        <w:rPr>
          <w:sz w:val="28"/>
          <w:szCs w:val="28"/>
        </w:rPr>
        <w:t>муниципального</w:t>
      </w:r>
      <w:r w:rsidRPr="004C69C0">
        <w:rPr>
          <w:sz w:val="28"/>
          <w:szCs w:val="28"/>
        </w:rPr>
        <w:t xml:space="preserve"> долга проводимая работа будет непосредственным образом связана с реализуемой в предстоящий трехлетний </w:t>
      </w:r>
      <w:r w:rsidRPr="004C69C0">
        <w:rPr>
          <w:sz w:val="28"/>
          <w:szCs w:val="28"/>
        </w:rPr>
        <w:lastRenderedPageBreak/>
        <w:t>период в целом бюджетной политикой. Будет применяться подход, ориентированный на максимально полное обеспечение по итогам финансового года расходных потребностей за счет источников поступления средств в бюджет, не относящихся к категории средне- и долгосрочного заемного финансирования.</w:t>
      </w:r>
    </w:p>
    <w:p w:rsidR="006835E2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Привлечение средств путем осуществления </w:t>
      </w:r>
      <w:r w:rsidR="007036F9">
        <w:rPr>
          <w:sz w:val="28"/>
          <w:szCs w:val="28"/>
        </w:rPr>
        <w:t>муниципальных</w:t>
      </w:r>
      <w:r w:rsidRPr="004C69C0">
        <w:rPr>
          <w:sz w:val="28"/>
          <w:szCs w:val="28"/>
        </w:rPr>
        <w:t xml:space="preserve"> заимствований</w:t>
      </w:r>
      <w:r w:rsidR="007036F9">
        <w:rPr>
          <w:sz w:val="28"/>
          <w:szCs w:val="28"/>
        </w:rPr>
        <w:t xml:space="preserve"> Елабужским муниципальным районом</w:t>
      </w:r>
      <w:r w:rsidRPr="004C69C0">
        <w:rPr>
          <w:sz w:val="28"/>
          <w:szCs w:val="28"/>
        </w:rPr>
        <w:t xml:space="preserve"> на настоящем этапе не предполагается</w:t>
      </w:r>
      <w:r w:rsidR="006835E2">
        <w:rPr>
          <w:sz w:val="28"/>
          <w:szCs w:val="28"/>
        </w:rPr>
        <w:t>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Указанные средства могут быть востребованы при возникновении необходимости улучшения ликвидности бюджета для безусловного исполнения предусмотренных законодательством социальных обязательств, реализуемых за счет средств бюджета </w:t>
      </w:r>
      <w:r w:rsidR="006835E2">
        <w:rPr>
          <w:sz w:val="28"/>
          <w:szCs w:val="28"/>
        </w:rPr>
        <w:t>района</w:t>
      </w:r>
      <w:r w:rsidRPr="004C69C0">
        <w:rPr>
          <w:sz w:val="28"/>
          <w:szCs w:val="28"/>
        </w:rPr>
        <w:t>.</w:t>
      </w:r>
    </w:p>
    <w:p w:rsidR="0010571E" w:rsidRPr="004C69C0" w:rsidRDefault="0010571E" w:rsidP="0010571E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>В настоящее время не планируется привлечение средств на финансовом рынке путем осуществления облигационных займов и кредитов от кредитных организаций. Изменение данного подхода возможно к рассмотрению в случае, если в процессе исполнения бюджета будет происходить существенное ухудшение ситуации с пополнением его доходной части при отсутствии иных источников финансирования.</w:t>
      </w:r>
    </w:p>
    <w:p w:rsidR="0010571E" w:rsidRPr="0019798D" w:rsidRDefault="0010571E" w:rsidP="0010571E">
      <w:pPr>
        <w:spacing w:line="288" w:lineRule="auto"/>
        <w:ind w:firstLine="709"/>
        <w:jc w:val="both"/>
        <w:rPr>
          <w:rStyle w:val="a8"/>
          <w:rFonts w:eastAsia="Calibri"/>
          <w:b w:val="0"/>
          <w:sz w:val="28"/>
          <w:szCs w:val="28"/>
          <w:lang w:eastAsia="en-US"/>
        </w:rPr>
      </w:pPr>
      <w:r w:rsidRPr="0019798D">
        <w:rPr>
          <w:rStyle w:val="a8"/>
          <w:rFonts w:eastAsia="Calibri"/>
          <w:b w:val="0"/>
          <w:sz w:val="28"/>
          <w:szCs w:val="28"/>
          <w:lang w:eastAsia="en-US"/>
        </w:rPr>
        <w:t xml:space="preserve">Будет также продолжено осуществление контроля за объемом </w:t>
      </w:r>
      <w:r w:rsidR="0019798D">
        <w:rPr>
          <w:rStyle w:val="a8"/>
          <w:rFonts w:eastAsia="Calibri"/>
          <w:b w:val="0"/>
          <w:sz w:val="28"/>
          <w:szCs w:val="28"/>
          <w:lang w:eastAsia="en-US"/>
        </w:rPr>
        <w:t xml:space="preserve">обязательств по муниципальным </w:t>
      </w:r>
      <w:r w:rsidRPr="0019798D">
        <w:rPr>
          <w:rStyle w:val="a8"/>
          <w:rFonts w:eastAsia="Calibri"/>
          <w:b w:val="0"/>
          <w:sz w:val="28"/>
          <w:szCs w:val="28"/>
          <w:lang w:eastAsia="en-US"/>
        </w:rPr>
        <w:t>гарантиям.</w:t>
      </w:r>
      <w:r w:rsidR="0019798D">
        <w:rPr>
          <w:rStyle w:val="a8"/>
          <w:rFonts w:eastAsia="Calibri"/>
          <w:b w:val="0"/>
          <w:sz w:val="28"/>
          <w:szCs w:val="28"/>
          <w:lang w:eastAsia="en-US"/>
        </w:rPr>
        <w:t xml:space="preserve"> Предоставление муниципальных гарантий Елабужским муниципальным районом в 2022 – 2024 одах не планируется.</w:t>
      </w:r>
    </w:p>
    <w:p w:rsidR="0010571E" w:rsidRPr="004C186D" w:rsidRDefault="0010571E" w:rsidP="0019798D">
      <w:pPr>
        <w:pStyle w:val="a6"/>
        <w:spacing w:line="288" w:lineRule="auto"/>
        <w:ind w:firstLine="709"/>
        <w:rPr>
          <w:sz w:val="28"/>
          <w:szCs w:val="28"/>
        </w:rPr>
      </w:pPr>
      <w:r w:rsidRPr="004C69C0">
        <w:rPr>
          <w:sz w:val="28"/>
          <w:szCs w:val="28"/>
        </w:rPr>
        <w:t xml:space="preserve">Таким образом, реализация необходимых мероприятий в рамках обозначенных направлений бюджетной политики должна обеспечить решение основной задачи на предстоящий трехлетний период 2022 – 2024 годов по поддержанию условий для долгосрочной сбалансированности и устойчивости бюджетной системы </w:t>
      </w:r>
      <w:r w:rsidR="0019798D">
        <w:rPr>
          <w:sz w:val="28"/>
          <w:szCs w:val="28"/>
        </w:rPr>
        <w:t>района</w:t>
      </w:r>
      <w:r w:rsidRPr="004C69C0">
        <w:rPr>
          <w:sz w:val="28"/>
          <w:szCs w:val="28"/>
        </w:rPr>
        <w:t>.</w:t>
      </w:r>
    </w:p>
    <w:sectPr w:rsidR="0010571E" w:rsidRPr="004C186D" w:rsidSect="00506A7C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21" w:rsidRDefault="00744921">
      <w:r>
        <w:separator/>
      </w:r>
    </w:p>
  </w:endnote>
  <w:endnote w:type="continuationSeparator" w:id="0">
    <w:p w:rsidR="00744921" w:rsidRDefault="0074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11" w:rsidRDefault="00FA4511" w:rsidP="00F27795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4511" w:rsidRDefault="00FA4511" w:rsidP="0035435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511" w:rsidRDefault="00FA4511" w:rsidP="00F27795">
    <w:pPr>
      <w:pStyle w:val="aa"/>
      <w:framePr w:wrap="around" w:vAnchor="text" w:hAnchor="margin" w:xAlign="right" w:y="1"/>
      <w:rPr>
        <w:rStyle w:val="ab"/>
      </w:rPr>
    </w:pPr>
  </w:p>
  <w:p w:rsidR="00FA4511" w:rsidRDefault="00FA4511" w:rsidP="00F27795">
    <w:pPr>
      <w:pStyle w:val="aa"/>
      <w:framePr w:wrap="around" w:vAnchor="text" w:hAnchor="margin" w:xAlign="right" w:y="1"/>
      <w:rPr>
        <w:rStyle w:val="ab"/>
      </w:rPr>
    </w:pPr>
  </w:p>
  <w:p w:rsidR="00FA4511" w:rsidRDefault="00FA4511" w:rsidP="0035435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21" w:rsidRDefault="00744921">
      <w:r>
        <w:separator/>
      </w:r>
    </w:p>
  </w:footnote>
  <w:footnote w:type="continuationSeparator" w:id="0">
    <w:p w:rsidR="00744921" w:rsidRDefault="00744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D646E"/>
    <w:multiLevelType w:val="hybridMultilevel"/>
    <w:tmpl w:val="3A08A13C"/>
    <w:lvl w:ilvl="0" w:tplc="1D56C24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EB23194"/>
    <w:multiLevelType w:val="hybridMultilevel"/>
    <w:tmpl w:val="5E626E34"/>
    <w:lvl w:ilvl="0" w:tplc="A0D0EF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6F05AA"/>
    <w:multiLevelType w:val="hybridMultilevel"/>
    <w:tmpl w:val="15360248"/>
    <w:lvl w:ilvl="0" w:tplc="F224D2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3F04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34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85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DAE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F4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EB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88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1701C1"/>
    <w:multiLevelType w:val="hybridMultilevel"/>
    <w:tmpl w:val="0C6CEEB0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042C77"/>
    <w:multiLevelType w:val="hybridMultilevel"/>
    <w:tmpl w:val="72B02C98"/>
    <w:lvl w:ilvl="0" w:tplc="B584F8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13F04722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693475E0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6D585D88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A4DAED6E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19F4FEE2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4AEB364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AD88EE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BE8"/>
    <w:rsid w:val="000426D2"/>
    <w:rsid w:val="00047FF1"/>
    <w:rsid w:val="00053FE7"/>
    <w:rsid w:val="00054A3A"/>
    <w:rsid w:val="00054D45"/>
    <w:rsid w:val="00062A68"/>
    <w:rsid w:val="000739E0"/>
    <w:rsid w:val="00074CB6"/>
    <w:rsid w:val="00083E7B"/>
    <w:rsid w:val="00091C54"/>
    <w:rsid w:val="000A2B5A"/>
    <w:rsid w:val="000A7FE3"/>
    <w:rsid w:val="000E30FC"/>
    <w:rsid w:val="000E514C"/>
    <w:rsid w:val="000E5600"/>
    <w:rsid w:val="000F2BF2"/>
    <w:rsid w:val="000F3975"/>
    <w:rsid w:val="0010571E"/>
    <w:rsid w:val="001075AF"/>
    <w:rsid w:val="001179FE"/>
    <w:rsid w:val="00124546"/>
    <w:rsid w:val="00127AA0"/>
    <w:rsid w:val="001313AC"/>
    <w:rsid w:val="00134117"/>
    <w:rsid w:val="00137EA4"/>
    <w:rsid w:val="00145423"/>
    <w:rsid w:val="00165B35"/>
    <w:rsid w:val="00166444"/>
    <w:rsid w:val="00170360"/>
    <w:rsid w:val="00190D91"/>
    <w:rsid w:val="00192B03"/>
    <w:rsid w:val="0019798D"/>
    <w:rsid w:val="001A450F"/>
    <w:rsid w:val="001B5474"/>
    <w:rsid w:val="001C7EE6"/>
    <w:rsid w:val="001D3E37"/>
    <w:rsid w:val="001E5411"/>
    <w:rsid w:val="001E7FD9"/>
    <w:rsid w:val="00205EB0"/>
    <w:rsid w:val="00213CF8"/>
    <w:rsid w:val="0022281D"/>
    <w:rsid w:val="00223939"/>
    <w:rsid w:val="00226CD8"/>
    <w:rsid w:val="00245628"/>
    <w:rsid w:val="00245B68"/>
    <w:rsid w:val="00253223"/>
    <w:rsid w:val="0025378E"/>
    <w:rsid w:val="00253A4E"/>
    <w:rsid w:val="00260F65"/>
    <w:rsid w:val="002673BC"/>
    <w:rsid w:val="00280035"/>
    <w:rsid w:val="00280324"/>
    <w:rsid w:val="00281F72"/>
    <w:rsid w:val="00286874"/>
    <w:rsid w:val="002918CF"/>
    <w:rsid w:val="00296D94"/>
    <w:rsid w:val="002A392D"/>
    <w:rsid w:val="002A3D14"/>
    <w:rsid w:val="002C659C"/>
    <w:rsid w:val="002E28CC"/>
    <w:rsid w:val="002E69B4"/>
    <w:rsid w:val="002F20C4"/>
    <w:rsid w:val="002F3C09"/>
    <w:rsid w:val="0031079F"/>
    <w:rsid w:val="00313971"/>
    <w:rsid w:val="0032455E"/>
    <w:rsid w:val="00324DD1"/>
    <w:rsid w:val="00327926"/>
    <w:rsid w:val="00340B0E"/>
    <w:rsid w:val="003462C9"/>
    <w:rsid w:val="00354356"/>
    <w:rsid w:val="00386744"/>
    <w:rsid w:val="003940CC"/>
    <w:rsid w:val="00395DDC"/>
    <w:rsid w:val="003B0D73"/>
    <w:rsid w:val="003D1009"/>
    <w:rsid w:val="003D64BA"/>
    <w:rsid w:val="003D781E"/>
    <w:rsid w:val="003E2778"/>
    <w:rsid w:val="003E4513"/>
    <w:rsid w:val="003F0BF2"/>
    <w:rsid w:val="004064AD"/>
    <w:rsid w:val="00413BF8"/>
    <w:rsid w:val="00416710"/>
    <w:rsid w:val="00430011"/>
    <w:rsid w:val="00430C4A"/>
    <w:rsid w:val="004352C0"/>
    <w:rsid w:val="0043578A"/>
    <w:rsid w:val="00437026"/>
    <w:rsid w:val="0044271C"/>
    <w:rsid w:val="00447129"/>
    <w:rsid w:val="00463039"/>
    <w:rsid w:val="0046416C"/>
    <w:rsid w:val="00467116"/>
    <w:rsid w:val="00470116"/>
    <w:rsid w:val="0047305E"/>
    <w:rsid w:val="00485005"/>
    <w:rsid w:val="00490245"/>
    <w:rsid w:val="00492254"/>
    <w:rsid w:val="004A649F"/>
    <w:rsid w:val="004B049A"/>
    <w:rsid w:val="004C0152"/>
    <w:rsid w:val="004C7E48"/>
    <w:rsid w:val="004F15A4"/>
    <w:rsid w:val="004F40B0"/>
    <w:rsid w:val="00506A7C"/>
    <w:rsid w:val="0051411A"/>
    <w:rsid w:val="00524FC1"/>
    <w:rsid w:val="0054016A"/>
    <w:rsid w:val="00563163"/>
    <w:rsid w:val="005635F3"/>
    <w:rsid w:val="00570DF4"/>
    <w:rsid w:val="00581F40"/>
    <w:rsid w:val="00591536"/>
    <w:rsid w:val="00592C02"/>
    <w:rsid w:val="00595357"/>
    <w:rsid w:val="005A20B6"/>
    <w:rsid w:val="005C6BA0"/>
    <w:rsid w:val="005F065E"/>
    <w:rsid w:val="005F529D"/>
    <w:rsid w:val="00604F96"/>
    <w:rsid w:val="00615F60"/>
    <w:rsid w:val="00630736"/>
    <w:rsid w:val="006350A5"/>
    <w:rsid w:val="00636E5B"/>
    <w:rsid w:val="006465C9"/>
    <w:rsid w:val="006530FA"/>
    <w:rsid w:val="00670419"/>
    <w:rsid w:val="00673338"/>
    <w:rsid w:val="0067421D"/>
    <w:rsid w:val="006835E2"/>
    <w:rsid w:val="00684B55"/>
    <w:rsid w:val="006A0744"/>
    <w:rsid w:val="006A5FE6"/>
    <w:rsid w:val="006B464C"/>
    <w:rsid w:val="006C3DA2"/>
    <w:rsid w:val="006C482B"/>
    <w:rsid w:val="006F436E"/>
    <w:rsid w:val="007021D6"/>
    <w:rsid w:val="007036F9"/>
    <w:rsid w:val="00710284"/>
    <w:rsid w:val="007165E5"/>
    <w:rsid w:val="00730C1C"/>
    <w:rsid w:val="00735A2B"/>
    <w:rsid w:val="0073631C"/>
    <w:rsid w:val="00744921"/>
    <w:rsid w:val="007566B8"/>
    <w:rsid w:val="007570D7"/>
    <w:rsid w:val="007603C2"/>
    <w:rsid w:val="00764CBB"/>
    <w:rsid w:val="00765EAF"/>
    <w:rsid w:val="00783065"/>
    <w:rsid w:val="007853D8"/>
    <w:rsid w:val="00792735"/>
    <w:rsid w:val="00792A58"/>
    <w:rsid w:val="007A2EEB"/>
    <w:rsid w:val="007D031A"/>
    <w:rsid w:val="007D2B87"/>
    <w:rsid w:val="007E3068"/>
    <w:rsid w:val="007E518C"/>
    <w:rsid w:val="007F7F99"/>
    <w:rsid w:val="00804888"/>
    <w:rsid w:val="00804AB7"/>
    <w:rsid w:val="00814A06"/>
    <w:rsid w:val="00815904"/>
    <w:rsid w:val="00831653"/>
    <w:rsid w:val="0083230A"/>
    <w:rsid w:val="00835297"/>
    <w:rsid w:val="008367D5"/>
    <w:rsid w:val="00846066"/>
    <w:rsid w:val="00854AA6"/>
    <w:rsid w:val="00893FB3"/>
    <w:rsid w:val="008B4E1B"/>
    <w:rsid w:val="008C465C"/>
    <w:rsid w:val="008C502F"/>
    <w:rsid w:val="008E4784"/>
    <w:rsid w:val="008E5347"/>
    <w:rsid w:val="008F7109"/>
    <w:rsid w:val="00902B1F"/>
    <w:rsid w:val="009400F7"/>
    <w:rsid w:val="009405A5"/>
    <w:rsid w:val="00941D96"/>
    <w:rsid w:val="00943F29"/>
    <w:rsid w:val="00946114"/>
    <w:rsid w:val="00946B8A"/>
    <w:rsid w:val="00957EEE"/>
    <w:rsid w:val="00974A45"/>
    <w:rsid w:val="00976D6F"/>
    <w:rsid w:val="00980286"/>
    <w:rsid w:val="0098640E"/>
    <w:rsid w:val="009920A3"/>
    <w:rsid w:val="00994B8E"/>
    <w:rsid w:val="0099752E"/>
    <w:rsid w:val="009A1055"/>
    <w:rsid w:val="009B2C49"/>
    <w:rsid w:val="009B6BE8"/>
    <w:rsid w:val="009B765F"/>
    <w:rsid w:val="009C61E1"/>
    <w:rsid w:val="009E51A0"/>
    <w:rsid w:val="00A1140E"/>
    <w:rsid w:val="00A119CD"/>
    <w:rsid w:val="00A271F8"/>
    <w:rsid w:val="00A30A95"/>
    <w:rsid w:val="00A329D9"/>
    <w:rsid w:val="00A3726C"/>
    <w:rsid w:val="00A46B41"/>
    <w:rsid w:val="00A50729"/>
    <w:rsid w:val="00A608CF"/>
    <w:rsid w:val="00A7476D"/>
    <w:rsid w:val="00A82755"/>
    <w:rsid w:val="00A90D3D"/>
    <w:rsid w:val="00A97709"/>
    <w:rsid w:val="00AA2421"/>
    <w:rsid w:val="00AB11BE"/>
    <w:rsid w:val="00AB1DCA"/>
    <w:rsid w:val="00AD23D5"/>
    <w:rsid w:val="00AD7111"/>
    <w:rsid w:val="00AD75A5"/>
    <w:rsid w:val="00AF2452"/>
    <w:rsid w:val="00AF7ED5"/>
    <w:rsid w:val="00B20D7F"/>
    <w:rsid w:val="00B248B8"/>
    <w:rsid w:val="00B24A10"/>
    <w:rsid w:val="00B26BEB"/>
    <w:rsid w:val="00B36A33"/>
    <w:rsid w:val="00B4663B"/>
    <w:rsid w:val="00B67E6A"/>
    <w:rsid w:val="00B81F46"/>
    <w:rsid w:val="00B84FB0"/>
    <w:rsid w:val="00B87983"/>
    <w:rsid w:val="00BA23E1"/>
    <w:rsid w:val="00BA72E1"/>
    <w:rsid w:val="00BC0A2B"/>
    <w:rsid w:val="00BD63D9"/>
    <w:rsid w:val="00BF4681"/>
    <w:rsid w:val="00C02CCA"/>
    <w:rsid w:val="00C35A1D"/>
    <w:rsid w:val="00C419A9"/>
    <w:rsid w:val="00C46ED5"/>
    <w:rsid w:val="00C5227D"/>
    <w:rsid w:val="00C57F90"/>
    <w:rsid w:val="00C64CB8"/>
    <w:rsid w:val="00C75BAF"/>
    <w:rsid w:val="00C77555"/>
    <w:rsid w:val="00C82B53"/>
    <w:rsid w:val="00C85E45"/>
    <w:rsid w:val="00C92D06"/>
    <w:rsid w:val="00C9665E"/>
    <w:rsid w:val="00CB3D41"/>
    <w:rsid w:val="00CB5B4A"/>
    <w:rsid w:val="00CC0341"/>
    <w:rsid w:val="00CF3CDC"/>
    <w:rsid w:val="00CF7ED2"/>
    <w:rsid w:val="00D05649"/>
    <w:rsid w:val="00D058E6"/>
    <w:rsid w:val="00D42EAB"/>
    <w:rsid w:val="00D534E3"/>
    <w:rsid w:val="00D64209"/>
    <w:rsid w:val="00D86BA0"/>
    <w:rsid w:val="00D9198C"/>
    <w:rsid w:val="00D9363D"/>
    <w:rsid w:val="00D93B38"/>
    <w:rsid w:val="00DA163A"/>
    <w:rsid w:val="00DB12E1"/>
    <w:rsid w:val="00DB64CE"/>
    <w:rsid w:val="00DB7BA9"/>
    <w:rsid w:val="00DD1334"/>
    <w:rsid w:val="00DD2E81"/>
    <w:rsid w:val="00DD43CD"/>
    <w:rsid w:val="00DD49C8"/>
    <w:rsid w:val="00DD63CD"/>
    <w:rsid w:val="00DD74B5"/>
    <w:rsid w:val="00DF2BE8"/>
    <w:rsid w:val="00E00489"/>
    <w:rsid w:val="00E1426B"/>
    <w:rsid w:val="00E438BA"/>
    <w:rsid w:val="00E500DB"/>
    <w:rsid w:val="00E5525D"/>
    <w:rsid w:val="00E702B2"/>
    <w:rsid w:val="00E707A8"/>
    <w:rsid w:val="00E86C6A"/>
    <w:rsid w:val="00E968F5"/>
    <w:rsid w:val="00EA0774"/>
    <w:rsid w:val="00EA1D02"/>
    <w:rsid w:val="00EA4FC4"/>
    <w:rsid w:val="00EB4B54"/>
    <w:rsid w:val="00EB6797"/>
    <w:rsid w:val="00EB6D0A"/>
    <w:rsid w:val="00EC2569"/>
    <w:rsid w:val="00ED04AF"/>
    <w:rsid w:val="00ED33ED"/>
    <w:rsid w:val="00EE244A"/>
    <w:rsid w:val="00EF6D8B"/>
    <w:rsid w:val="00F020EA"/>
    <w:rsid w:val="00F0697E"/>
    <w:rsid w:val="00F0780E"/>
    <w:rsid w:val="00F07C96"/>
    <w:rsid w:val="00F20DE5"/>
    <w:rsid w:val="00F20F8B"/>
    <w:rsid w:val="00F27795"/>
    <w:rsid w:val="00F3577E"/>
    <w:rsid w:val="00F35AB0"/>
    <w:rsid w:val="00F46C07"/>
    <w:rsid w:val="00F57B26"/>
    <w:rsid w:val="00F65953"/>
    <w:rsid w:val="00F70775"/>
    <w:rsid w:val="00F92A5E"/>
    <w:rsid w:val="00FA4511"/>
    <w:rsid w:val="00FA76E6"/>
    <w:rsid w:val="00FC39F0"/>
    <w:rsid w:val="00FC4BEE"/>
    <w:rsid w:val="00FD5092"/>
    <w:rsid w:val="00FD7E24"/>
    <w:rsid w:val="00FF5238"/>
    <w:rsid w:val="00FF617B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192B4-4511-4864-878F-1D797C14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BE8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"/>
    <w:basedOn w:val="a"/>
    <w:rsid w:val="009B6BE8"/>
    <w:pPr>
      <w:jc w:val="center"/>
    </w:pPr>
    <w:rPr>
      <w:rFonts w:eastAsia="Times New Roman"/>
      <w:b/>
      <w:bCs/>
      <w:sz w:val="28"/>
      <w:szCs w:val="22"/>
      <w:lang w:eastAsia="ru-RU"/>
    </w:rPr>
  </w:style>
  <w:style w:type="paragraph" w:styleId="a4">
    <w:name w:val="Body Text Indent"/>
    <w:basedOn w:val="a"/>
    <w:link w:val="a5"/>
    <w:rsid w:val="009B6BE8"/>
    <w:pPr>
      <w:spacing w:after="120"/>
      <w:ind w:left="283"/>
    </w:pPr>
  </w:style>
  <w:style w:type="paragraph" w:customStyle="1" w:styleId="a6">
    <w:name w:val="ЭЭГ"/>
    <w:basedOn w:val="a"/>
    <w:rsid w:val="009B6BE8"/>
    <w:pPr>
      <w:spacing w:line="360" w:lineRule="auto"/>
      <w:ind w:firstLine="720"/>
      <w:jc w:val="both"/>
    </w:pPr>
    <w:rPr>
      <w:rFonts w:eastAsia="Times New Roman"/>
      <w:lang w:eastAsia="ru-RU"/>
    </w:rPr>
  </w:style>
  <w:style w:type="paragraph" w:customStyle="1" w:styleId="1">
    <w:name w:val="Стиль1"/>
    <w:basedOn w:val="a"/>
    <w:rsid w:val="009B6BE8"/>
    <w:pPr>
      <w:spacing w:line="288" w:lineRule="auto"/>
    </w:pPr>
    <w:rPr>
      <w:rFonts w:eastAsia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9B6B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1A450F"/>
    <w:rPr>
      <w:rFonts w:eastAsia="MS Mincho"/>
      <w:sz w:val="24"/>
      <w:szCs w:val="24"/>
      <w:lang w:val="ru-RU" w:eastAsia="ja-JP" w:bidi="ar-SA"/>
    </w:rPr>
  </w:style>
  <w:style w:type="character" w:styleId="a8">
    <w:name w:val="Strong"/>
    <w:qFormat/>
    <w:rsid w:val="001A450F"/>
    <w:rPr>
      <w:b/>
      <w:bCs/>
    </w:rPr>
  </w:style>
  <w:style w:type="paragraph" w:styleId="a9">
    <w:name w:val="Normal (Web)"/>
    <w:basedOn w:val="a"/>
    <w:unhideWhenUsed/>
    <w:rsid w:val="001A450F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footer"/>
    <w:basedOn w:val="a"/>
    <w:rsid w:val="0035435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54356"/>
  </w:style>
  <w:style w:type="character" w:customStyle="1" w:styleId="4">
    <w:name w:val=" Знак Знак4"/>
    <w:rsid w:val="00C5227D"/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C522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"/>
    <w:rsid w:val="009400F7"/>
    <w:pPr>
      <w:tabs>
        <w:tab w:val="center" w:pos="4677"/>
        <w:tab w:val="right" w:pos="9355"/>
      </w:tabs>
    </w:pPr>
  </w:style>
  <w:style w:type="paragraph" w:customStyle="1" w:styleId="10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81590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rsid w:val="00327926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327926"/>
    <w:rPr>
      <w:rFonts w:ascii="Tahoma" w:eastAsia="MS Mincho" w:hAnsi="Tahoma" w:cs="Tahoma"/>
      <w:sz w:val="16"/>
      <w:szCs w:val="16"/>
      <w:lang w:eastAsia="ja-JP"/>
    </w:rPr>
  </w:style>
  <w:style w:type="paragraph" w:customStyle="1" w:styleId="Default">
    <w:name w:val="Default"/>
    <w:rsid w:val="00F7077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7D8C6-6888-42F0-B083-FA550DB1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Microsoft</Company>
  <LinksUpToDate>false</LinksUpToDate>
  <CharactersWithSpaces>13655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subject/>
  <dc:creator>elab-pelag</dc:creator>
  <cp:keywords/>
  <dc:description/>
  <cp:lastModifiedBy>AdminPC</cp:lastModifiedBy>
  <cp:revision>2</cp:revision>
  <cp:lastPrinted>2021-10-09T10:02:00Z</cp:lastPrinted>
  <dcterms:created xsi:type="dcterms:W3CDTF">2021-11-18T13:54:00Z</dcterms:created>
  <dcterms:modified xsi:type="dcterms:W3CDTF">2021-11-18T13:54:00Z</dcterms:modified>
</cp:coreProperties>
</file>