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51" w:rsidRDefault="00E71251" w:rsidP="00E71251">
      <w:pPr>
        <w:pStyle w:val="ConsPlusTitle"/>
        <w:jc w:val="center"/>
      </w:pPr>
      <w:r>
        <w:t>ПОКАЗАТЕЛИ,</w:t>
      </w:r>
    </w:p>
    <w:p w:rsidR="00E71251" w:rsidRDefault="00E71251" w:rsidP="00E71251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E71251" w:rsidRDefault="00E71251" w:rsidP="00E71251">
      <w:pPr>
        <w:pStyle w:val="ConsPlusTitle"/>
        <w:jc w:val="center"/>
      </w:pPr>
      <w:r>
        <w:t>ОКАЗАНИЯ УСЛУГ ОРГАНИЗАЦИЯМИ КУЛЬТУРЫ</w:t>
      </w:r>
    </w:p>
    <w:p w:rsidR="00E71251" w:rsidRDefault="00E71251" w:rsidP="00E71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E71251" w:rsidRDefault="00E71251" w:rsidP="00CD3DF7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телефона,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электронной почты,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 баллов</w:t>
            </w:r>
          </w:p>
        </w:tc>
      </w:tr>
      <w:tr w:rsidR="00E71251" w:rsidTr="00CD3DF7">
        <w:tc>
          <w:tcPr>
            <w:tcW w:w="6576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E71251" w:rsidRDefault="00E71251" w:rsidP="00CD3DF7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lastRenderedPageBreak/>
              <w:t>- наличие комфортной зоны отдыха (ожидания);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 баллов</w:t>
            </w:r>
          </w:p>
        </w:tc>
      </w:tr>
      <w:tr w:rsidR="00E71251" w:rsidTr="00CD3DF7">
        <w:tc>
          <w:tcPr>
            <w:tcW w:w="6576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E71251" w:rsidRDefault="00E71251" w:rsidP="00CD3DF7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 xml:space="preserve">3.1. </w:t>
            </w:r>
            <w:hyperlink w:anchor="P1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E71251" w:rsidRDefault="00E71251" w:rsidP="00CD3DF7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 баллов</w:t>
            </w:r>
          </w:p>
        </w:tc>
      </w:tr>
      <w:tr w:rsidR="00E71251" w:rsidTr="00CD3DF7">
        <w:tc>
          <w:tcPr>
            <w:tcW w:w="6576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E71251" w:rsidRDefault="00E71251" w:rsidP="00CD3DF7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20 баллов</w:t>
            </w:r>
          </w:p>
        </w:tc>
      </w:tr>
      <w:tr w:rsidR="00E71251" w:rsidTr="00CD3DF7">
        <w:tc>
          <w:tcPr>
            <w:tcW w:w="6576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E71251" w:rsidRDefault="00E71251" w:rsidP="00CD3DF7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</w:t>
            </w:r>
            <w:r>
              <w:lastRenderedPageBreak/>
              <w:t>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30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20 баллов</w:t>
            </w:r>
          </w:p>
        </w:tc>
      </w:tr>
      <w:tr w:rsidR="00E71251" w:rsidTr="00CD3DF7">
        <w:tc>
          <w:tcPr>
            <w:tcW w:w="850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E71251" w:rsidRDefault="00E71251" w:rsidP="00CD3DF7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50 баллов</w:t>
            </w:r>
          </w:p>
        </w:tc>
      </w:tr>
      <w:tr w:rsidR="00E71251" w:rsidTr="00CD3DF7">
        <w:tc>
          <w:tcPr>
            <w:tcW w:w="6576" w:type="dxa"/>
            <w:gridSpan w:val="3"/>
          </w:tcPr>
          <w:p w:rsidR="00E71251" w:rsidRDefault="00E71251" w:rsidP="00CD3DF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E71251" w:rsidRDefault="00E71251" w:rsidP="00CD3DF7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910F46" w:rsidRDefault="00910F46">
      <w:bookmarkStart w:id="0" w:name="_GoBack"/>
      <w:bookmarkEnd w:id="0"/>
    </w:p>
    <w:sectPr w:rsidR="0091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3A3D28"/>
    <w:rsid w:val="00702FB3"/>
    <w:rsid w:val="007747C2"/>
    <w:rsid w:val="00910F46"/>
    <w:rsid w:val="00E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6647-0C79-4A1A-89FC-5846A1D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2019-08-10T10:04:00Z</dcterms:created>
  <dcterms:modified xsi:type="dcterms:W3CDTF">2019-08-10T14:46:00Z</dcterms:modified>
</cp:coreProperties>
</file>